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DD" w:rsidRPr="008A52DD" w:rsidRDefault="008A52DD" w:rsidP="008A52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A52DD" w:rsidRPr="008A52DD" w:rsidRDefault="008A52DD" w:rsidP="008A52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A52DD">
        <w:rPr>
          <w:rFonts w:ascii="Calibri" w:hAnsi="Calibri" w:cs="Calibri"/>
          <w:b/>
          <w:bCs/>
        </w:rPr>
        <w:t>TEMARIO PARA PRUEBA DE CONOCIMIENTOS (*)</w:t>
      </w:r>
    </w:p>
    <w:p w:rsidR="008A52DD" w:rsidRDefault="008A52DD" w:rsidP="008A52DD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854045">
        <w:rPr>
          <w:rFonts w:ascii="Calibri" w:hAnsi="Calibri" w:cs="Calibri"/>
          <w:b/>
          <w:bCs/>
        </w:rPr>
        <w:t>CONCURSO DEFENSOR(A) LOCAL</w:t>
      </w:r>
      <w:r w:rsidR="009301E6">
        <w:rPr>
          <w:rFonts w:ascii="Calibri" w:hAnsi="Calibri" w:cs="Calibri"/>
          <w:b/>
          <w:bCs/>
        </w:rPr>
        <w:t xml:space="preserve"> ADOLESCENTE</w:t>
      </w:r>
      <w:r w:rsidRPr="00854045">
        <w:rPr>
          <w:rFonts w:ascii="Calibri" w:hAnsi="Calibri" w:cs="Calibri"/>
          <w:b/>
          <w:bCs/>
        </w:rPr>
        <w:t xml:space="preserve"> – 2018</w:t>
      </w:r>
    </w:p>
    <w:p w:rsidR="009301E6" w:rsidRDefault="009301E6" w:rsidP="008A52DD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9301E6" w:rsidRDefault="009301E6" w:rsidP="000E0984">
      <w:pPr>
        <w:pStyle w:val="Default"/>
        <w:numPr>
          <w:ilvl w:val="0"/>
          <w:numId w:val="13"/>
        </w:numPr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Ley N° 20.084 y su Reglamento</w:t>
      </w:r>
    </w:p>
    <w:p w:rsidR="000E0984" w:rsidRDefault="000E0984" w:rsidP="000E0984">
      <w:pPr>
        <w:pStyle w:val="Default"/>
        <w:ind w:left="720"/>
        <w:jc w:val="both"/>
        <w:rPr>
          <w:b/>
          <w:bCs/>
          <w:sz w:val="22"/>
          <w:szCs w:val="22"/>
        </w:rPr>
      </w:pPr>
    </w:p>
    <w:p w:rsidR="009301E6" w:rsidRDefault="009301E6" w:rsidP="009301E6">
      <w:pPr>
        <w:pStyle w:val="Default"/>
        <w:jc w:val="both"/>
        <w:rPr>
          <w:sz w:val="22"/>
          <w:szCs w:val="22"/>
        </w:rPr>
      </w:pPr>
      <w:r w:rsidRPr="0008684C">
        <w:rPr>
          <w:b/>
          <w:sz w:val="22"/>
          <w:szCs w:val="22"/>
        </w:rPr>
        <w:t>1.1.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Aspectos penales, procesales y ejecución de pena de la Ley N° 20.084, que establece un sistema de responsabilidad penal adolescente infractores a la ley penal y su reglamento, Decreto (J) N°1378/2006. </w:t>
      </w:r>
    </w:p>
    <w:p w:rsidR="009301E6" w:rsidRDefault="009301E6" w:rsidP="009301E6">
      <w:pPr>
        <w:pStyle w:val="Default"/>
        <w:spacing w:after="18"/>
        <w:jc w:val="both"/>
        <w:rPr>
          <w:sz w:val="22"/>
          <w:szCs w:val="22"/>
        </w:rPr>
      </w:pPr>
      <w:r w:rsidRPr="0008684C">
        <w:rPr>
          <w:b/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Criminología Juvenil </w:t>
      </w:r>
      <w:r>
        <w:rPr>
          <w:sz w:val="22"/>
          <w:szCs w:val="22"/>
        </w:rPr>
        <w:t xml:space="preserve">(Art. 29 Ley 20.084 que establece un sistema de responsabilidad penal adolescente infractores a la ley penal) </w:t>
      </w:r>
    </w:p>
    <w:p w:rsidR="009301E6" w:rsidRDefault="009301E6" w:rsidP="009301E6">
      <w:pPr>
        <w:pStyle w:val="Default"/>
        <w:jc w:val="both"/>
        <w:rPr>
          <w:sz w:val="22"/>
          <w:szCs w:val="22"/>
        </w:rPr>
      </w:pPr>
      <w:r w:rsidRPr="0008684C">
        <w:rPr>
          <w:b/>
          <w:sz w:val="22"/>
          <w:szCs w:val="22"/>
        </w:rPr>
        <w:t>1.3.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Psicología del desarrollo adolescente </w:t>
      </w:r>
      <w:r>
        <w:rPr>
          <w:sz w:val="22"/>
          <w:szCs w:val="22"/>
        </w:rPr>
        <w:t xml:space="preserve">(Art. 29 Ley 20.084 que establece un sistema de responsabilidad penal adolescente infractores a la ley penal). </w:t>
      </w:r>
    </w:p>
    <w:p w:rsidR="009301E6" w:rsidRDefault="009301E6" w:rsidP="009301E6">
      <w:pPr>
        <w:pStyle w:val="Default"/>
        <w:jc w:val="both"/>
        <w:rPr>
          <w:sz w:val="22"/>
          <w:szCs w:val="22"/>
        </w:rPr>
      </w:pPr>
    </w:p>
    <w:p w:rsidR="009301E6" w:rsidRPr="0026598F" w:rsidRDefault="009301E6" w:rsidP="009301E6">
      <w:pPr>
        <w:pStyle w:val="Default"/>
        <w:jc w:val="both"/>
        <w:rPr>
          <w:b/>
          <w:color w:val="1F4E79" w:themeColor="accent1" w:themeShade="80"/>
          <w:sz w:val="22"/>
          <w:szCs w:val="22"/>
        </w:rPr>
      </w:pPr>
      <w:r w:rsidRPr="0026598F">
        <w:rPr>
          <w:b/>
          <w:bCs/>
          <w:color w:val="1F4E79" w:themeColor="accent1" w:themeShade="80"/>
          <w:sz w:val="22"/>
          <w:szCs w:val="22"/>
        </w:rPr>
        <w:t xml:space="preserve">Lecturas para todo el tema “1. Ley N° 20.084 y su Reglamento”: </w:t>
      </w:r>
    </w:p>
    <w:p w:rsidR="009301E6" w:rsidRPr="0026598F" w:rsidRDefault="009301E6" w:rsidP="009301E6">
      <w:pPr>
        <w:pStyle w:val="Default"/>
        <w:spacing w:after="150"/>
        <w:jc w:val="both"/>
        <w:rPr>
          <w:b/>
          <w:bCs/>
          <w:color w:val="1F4E79" w:themeColor="accent1" w:themeShade="80"/>
          <w:sz w:val="22"/>
          <w:szCs w:val="22"/>
        </w:rPr>
      </w:pPr>
      <w:r w:rsidRPr="0026598F">
        <w:rPr>
          <w:b/>
          <w:color w:val="1F4E79" w:themeColor="accent1" w:themeShade="80"/>
          <w:sz w:val="22"/>
          <w:szCs w:val="22"/>
        </w:rPr>
        <w:t xml:space="preserve">- </w:t>
      </w:r>
      <w:r w:rsidRPr="0026598F">
        <w:rPr>
          <w:b/>
          <w:bCs/>
          <w:color w:val="1F4E79" w:themeColor="accent1" w:themeShade="80"/>
          <w:sz w:val="22"/>
          <w:szCs w:val="22"/>
        </w:rPr>
        <w:t>Ley 20.084</w:t>
      </w:r>
    </w:p>
    <w:p w:rsidR="009301E6" w:rsidRPr="0026598F" w:rsidRDefault="009301E6" w:rsidP="009301E6">
      <w:pPr>
        <w:pStyle w:val="Default"/>
        <w:spacing w:after="150"/>
        <w:jc w:val="both"/>
        <w:rPr>
          <w:b/>
          <w:bCs/>
          <w:color w:val="1F4E79" w:themeColor="accent1" w:themeShade="80"/>
          <w:sz w:val="22"/>
          <w:szCs w:val="22"/>
        </w:rPr>
      </w:pPr>
      <w:r w:rsidRPr="0026598F">
        <w:rPr>
          <w:b/>
          <w:bCs/>
          <w:color w:val="1F4E79" w:themeColor="accent1" w:themeShade="80"/>
          <w:sz w:val="22"/>
          <w:szCs w:val="22"/>
        </w:rPr>
        <w:t xml:space="preserve">- Decreto (J) N°1378/2006, Reglamento de la Ley 20.084 </w:t>
      </w: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r w:rsidRPr="0026598F">
        <w:rPr>
          <w:b/>
          <w:bCs/>
          <w:color w:val="1F4E79" w:themeColor="accent1" w:themeShade="80"/>
          <w:sz w:val="22"/>
          <w:szCs w:val="22"/>
        </w:rPr>
        <w:t>- DOCUMENTO DE TRABAJO Nº3/2006. Principales Aspectos de la Teoría del Desarrollo Adolescente: Guía para Defensores Penales Juveniles. Julio 2006, disponible en</w:t>
      </w: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r w:rsidRPr="0026598F">
        <w:rPr>
          <w:b/>
          <w:bCs/>
          <w:color w:val="1F4E79" w:themeColor="accent1" w:themeShade="80"/>
          <w:sz w:val="22"/>
          <w:szCs w:val="22"/>
        </w:rPr>
        <w:t>https://www.dropbox.com/sh/y17h449a8cwh6dw/AAC3eGDcOQ9O83cz80tdPOK0a?dl=0</w:t>
      </w: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</w:p>
    <w:p w:rsidR="009301E6" w:rsidRPr="0026598F" w:rsidRDefault="009301E6" w:rsidP="009301E6">
      <w:pPr>
        <w:autoSpaceDE w:val="0"/>
        <w:autoSpaceDN w:val="0"/>
        <w:adjustRightInd w:val="0"/>
        <w:spacing w:after="0" w:line="240" w:lineRule="auto"/>
        <w:jc w:val="both"/>
        <w:rPr>
          <w:rFonts w:cs="LucidaBright-Demi"/>
          <w:b/>
          <w:color w:val="1F4E79" w:themeColor="accent1" w:themeShade="80"/>
        </w:rPr>
      </w:pPr>
      <w:r w:rsidRPr="0026598F">
        <w:rPr>
          <w:b/>
          <w:color w:val="1F4E79" w:themeColor="accent1" w:themeShade="80"/>
        </w:rPr>
        <w:t xml:space="preserve">- </w:t>
      </w:r>
      <w:r w:rsidRPr="0026598F">
        <w:rPr>
          <w:rFonts w:cs="LucidaBright-Demi"/>
          <w:b/>
          <w:color w:val="1F4E79" w:themeColor="accent1" w:themeShade="80"/>
        </w:rPr>
        <w:t>DOCUMENTO DE TRABAJO Nº8. El nuevo derecho penal de adolescentes y la consecuente necesaria revisión de su “teoría del delito”. Héctor Hernández Basualto. Abril 2007, disponible en</w:t>
      </w:r>
    </w:p>
    <w:p w:rsidR="009301E6" w:rsidRPr="0026598F" w:rsidRDefault="000E0984" w:rsidP="009301E6">
      <w:pPr>
        <w:autoSpaceDE w:val="0"/>
        <w:autoSpaceDN w:val="0"/>
        <w:adjustRightInd w:val="0"/>
        <w:spacing w:after="0" w:line="240" w:lineRule="auto"/>
        <w:jc w:val="both"/>
        <w:rPr>
          <w:rFonts w:cs="LucidaBright-Demi"/>
          <w:b/>
          <w:color w:val="1F4E79" w:themeColor="accent1" w:themeShade="80"/>
        </w:rPr>
      </w:pPr>
      <w:hyperlink r:id="rId8" w:history="1">
        <w:r w:rsidR="009301E6" w:rsidRPr="0026598F">
          <w:rPr>
            <w:rStyle w:val="Hipervnculo"/>
            <w:rFonts w:cs="LucidaBright-Demi"/>
            <w:b/>
            <w:color w:val="1F4E79" w:themeColor="accent1" w:themeShade="80"/>
          </w:rPr>
          <w:t>https://www.dropbox.com/sh/y17h449a8cwh6dw/AAC3eGDcOQ9O83cz80tdPOK0a?dl=0</w:t>
        </w:r>
      </w:hyperlink>
      <w:r w:rsidR="009301E6" w:rsidRPr="0026598F">
        <w:rPr>
          <w:rFonts w:cs="LucidaBright-Demi"/>
          <w:b/>
          <w:color w:val="1F4E79" w:themeColor="accent1" w:themeShade="80"/>
        </w:rPr>
        <w:t xml:space="preserve">   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1F4E79" w:themeColor="accent1" w:themeShade="80"/>
        </w:rPr>
      </w:pPr>
    </w:p>
    <w:p w:rsidR="009301E6" w:rsidRPr="0026598F" w:rsidRDefault="009301E6" w:rsidP="009301E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1F4E79" w:themeColor="accent1" w:themeShade="80"/>
        </w:rPr>
      </w:pPr>
      <w:r w:rsidRPr="0026598F">
        <w:rPr>
          <w:b/>
          <w:bCs/>
          <w:color w:val="1F4E79" w:themeColor="accent1" w:themeShade="80"/>
        </w:rPr>
        <w:t xml:space="preserve">- DOCUMENTO DE TRABAJO Nº12. La Política Criminal para Adolescentes y la Ley 20.084. Jaime </w:t>
      </w:r>
      <w:proofErr w:type="spellStart"/>
      <w:r w:rsidRPr="0026598F">
        <w:rPr>
          <w:b/>
          <w:bCs/>
          <w:color w:val="1F4E79" w:themeColor="accent1" w:themeShade="80"/>
        </w:rPr>
        <w:t>Couso</w:t>
      </w:r>
      <w:proofErr w:type="spellEnd"/>
      <w:r w:rsidRPr="0026598F">
        <w:rPr>
          <w:b/>
          <w:bCs/>
          <w:color w:val="1F4E79" w:themeColor="accent1" w:themeShade="80"/>
        </w:rPr>
        <w:t xml:space="preserve"> Salas. Marzo 2008, disponible en</w:t>
      </w:r>
    </w:p>
    <w:p w:rsidR="009301E6" w:rsidRPr="0026598F" w:rsidRDefault="000E0984" w:rsidP="009301E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1F4E79" w:themeColor="accent1" w:themeShade="80"/>
        </w:rPr>
      </w:pPr>
      <w:hyperlink r:id="rId9" w:history="1">
        <w:r w:rsidR="009301E6" w:rsidRPr="0026598F">
          <w:rPr>
            <w:rStyle w:val="Hipervnculo"/>
            <w:b/>
            <w:bCs/>
            <w:color w:val="1F4E79" w:themeColor="accent1" w:themeShade="80"/>
          </w:rPr>
          <w:t>https://www.dropbox.com/sh/y17h449a8cwh6dw/AAC3eGDcOQ9O83cz80tdPOK0a?dl=0</w:t>
        </w:r>
      </w:hyperlink>
      <w:r w:rsidR="009301E6" w:rsidRPr="0026598F">
        <w:rPr>
          <w:b/>
          <w:bCs/>
          <w:color w:val="1F4E79" w:themeColor="accent1" w:themeShade="80"/>
        </w:rPr>
        <w:t xml:space="preserve"> 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240" w:lineRule="auto"/>
        <w:jc w:val="both"/>
        <w:rPr>
          <w:rFonts w:cs="LucidaBright-Demi"/>
          <w:b/>
          <w:color w:val="1F4E79" w:themeColor="accent1" w:themeShade="80"/>
        </w:rPr>
      </w:pPr>
    </w:p>
    <w:p w:rsidR="009301E6" w:rsidRPr="0026598F" w:rsidRDefault="009301E6" w:rsidP="009301E6">
      <w:pPr>
        <w:autoSpaceDE w:val="0"/>
        <w:autoSpaceDN w:val="0"/>
        <w:adjustRightInd w:val="0"/>
        <w:spacing w:after="0" w:line="240" w:lineRule="auto"/>
        <w:jc w:val="both"/>
        <w:rPr>
          <w:rFonts w:cs="LucidaBright-Demi"/>
          <w:b/>
          <w:color w:val="1F4E79" w:themeColor="accent1" w:themeShade="80"/>
        </w:rPr>
      </w:pPr>
      <w:r w:rsidRPr="0026598F">
        <w:rPr>
          <w:rFonts w:cs="LucidaBright-Demi"/>
          <w:b/>
          <w:color w:val="1F4E79" w:themeColor="accent1" w:themeShade="80"/>
        </w:rPr>
        <w:t xml:space="preserve">- DOCUMENTO DE TRABAJO N°18/2010. SUSTITUCIÓN Y REMISIÓN DE SANCIONES PENALES DE ADOLESCENTES, CRITERIOS Y LÍMITES PARA LAS DECISIONES EN SEDE DE CONTROL JUDICIAL DE LAS SANCIONES. Jaime </w:t>
      </w:r>
      <w:proofErr w:type="spellStart"/>
      <w:r w:rsidRPr="0026598F">
        <w:rPr>
          <w:rFonts w:cs="LucidaBright-Demi"/>
          <w:b/>
          <w:color w:val="1F4E79" w:themeColor="accent1" w:themeShade="80"/>
        </w:rPr>
        <w:t>Couso</w:t>
      </w:r>
      <w:proofErr w:type="spellEnd"/>
      <w:r w:rsidRPr="0026598F">
        <w:rPr>
          <w:rFonts w:cs="LucidaBright-Demi"/>
          <w:b/>
          <w:color w:val="1F4E79" w:themeColor="accent1" w:themeShade="80"/>
        </w:rPr>
        <w:t xml:space="preserve"> Salas. Junio de 2010, disponible en</w:t>
      </w:r>
    </w:p>
    <w:p w:rsidR="009301E6" w:rsidRPr="0026598F" w:rsidRDefault="000E0984" w:rsidP="009301E6">
      <w:pPr>
        <w:autoSpaceDE w:val="0"/>
        <w:autoSpaceDN w:val="0"/>
        <w:adjustRightInd w:val="0"/>
        <w:spacing w:after="0" w:line="240" w:lineRule="auto"/>
        <w:jc w:val="both"/>
        <w:rPr>
          <w:rFonts w:cs="LucidaBright-Demi"/>
          <w:b/>
          <w:color w:val="1F4E79" w:themeColor="accent1" w:themeShade="80"/>
        </w:rPr>
      </w:pPr>
      <w:hyperlink r:id="rId10" w:history="1">
        <w:r w:rsidR="009301E6" w:rsidRPr="0026598F">
          <w:rPr>
            <w:rStyle w:val="Hipervnculo"/>
            <w:rFonts w:cs="LucidaBright-Demi"/>
            <w:b/>
            <w:color w:val="1F4E79" w:themeColor="accent1" w:themeShade="80"/>
          </w:rPr>
          <w:t>https://www.dropbox.com/sh/y17h449a8cwh6dw/AAC3eGDcOQ9O83cz80tdPOK0a?dl=0</w:t>
        </w:r>
      </w:hyperlink>
      <w:r w:rsidR="009301E6" w:rsidRPr="0026598F">
        <w:rPr>
          <w:rFonts w:cs="LucidaBright-Demi"/>
          <w:b/>
          <w:color w:val="1F4E79" w:themeColor="accent1" w:themeShade="80"/>
        </w:rPr>
        <w:t xml:space="preserve"> 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240" w:lineRule="auto"/>
        <w:jc w:val="both"/>
        <w:rPr>
          <w:b/>
          <w:color w:val="1F4E79" w:themeColor="accent1" w:themeShade="80"/>
        </w:rPr>
      </w:pPr>
    </w:p>
    <w:p w:rsidR="009301E6" w:rsidRPr="0026598F" w:rsidRDefault="009301E6" w:rsidP="009301E6">
      <w:pPr>
        <w:autoSpaceDE w:val="0"/>
        <w:autoSpaceDN w:val="0"/>
        <w:adjustRightInd w:val="0"/>
        <w:spacing w:after="0" w:line="240" w:lineRule="auto"/>
        <w:jc w:val="both"/>
        <w:rPr>
          <w:b/>
          <w:color w:val="1F4E79" w:themeColor="accent1" w:themeShade="80"/>
        </w:rPr>
      </w:pPr>
      <w:r w:rsidRPr="0026598F">
        <w:rPr>
          <w:b/>
          <w:color w:val="1F4E79" w:themeColor="accent1" w:themeShade="80"/>
        </w:rPr>
        <w:t>- DOCUMENTO DE TRABAJO Nº19/2010 LOS ALCANCES DEL INCISO PRIMERO DEL ARTÍCULO 31 DE LA LEY DE RESPONSABILIDAD DE LOS ADOLESCENTES POR INFRACCIONES A LA LEY PENAL (LEY Nº 20.084). Mauricio Duce J. Agosto de 2010, disponible en</w:t>
      </w:r>
    </w:p>
    <w:p w:rsidR="009301E6" w:rsidRPr="0026598F" w:rsidRDefault="000E0984" w:rsidP="009301E6">
      <w:pPr>
        <w:autoSpaceDE w:val="0"/>
        <w:autoSpaceDN w:val="0"/>
        <w:adjustRightInd w:val="0"/>
        <w:spacing w:after="0" w:line="240" w:lineRule="auto"/>
        <w:jc w:val="both"/>
        <w:rPr>
          <w:b/>
          <w:color w:val="1F4E79" w:themeColor="accent1" w:themeShade="80"/>
        </w:rPr>
      </w:pPr>
      <w:hyperlink r:id="rId11" w:history="1">
        <w:r w:rsidR="009301E6" w:rsidRPr="0026598F">
          <w:rPr>
            <w:rStyle w:val="Hipervnculo"/>
            <w:b/>
            <w:color w:val="1F4E79" w:themeColor="accent1" w:themeShade="80"/>
          </w:rPr>
          <w:t>https://www.dropbox.com/sh/y17h449a8cwh6dw/AAC3eGDcOQ9O83cz80tdPOK0a?dl=0</w:t>
        </w:r>
      </w:hyperlink>
      <w:r w:rsidR="009301E6" w:rsidRPr="0026598F">
        <w:rPr>
          <w:b/>
          <w:color w:val="1F4E79" w:themeColor="accent1" w:themeShade="80"/>
        </w:rPr>
        <w:t xml:space="preserve"> </w:t>
      </w: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</w:p>
    <w:p w:rsidR="009301E6" w:rsidRPr="0026598F" w:rsidRDefault="009301E6" w:rsidP="009301E6">
      <w:pPr>
        <w:autoSpaceDE w:val="0"/>
        <w:autoSpaceDN w:val="0"/>
        <w:adjustRightInd w:val="0"/>
        <w:spacing w:after="0" w:line="240" w:lineRule="auto"/>
        <w:jc w:val="both"/>
        <w:rPr>
          <w:b/>
          <w:color w:val="1F4E79" w:themeColor="accent1" w:themeShade="80"/>
        </w:rPr>
      </w:pPr>
      <w:r w:rsidRPr="0026598F">
        <w:rPr>
          <w:b/>
          <w:bCs/>
          <w:color w:val="1F4E79" w:themeColor="accent1" w:themeShade="80"/>
        </w:rPr>
        <w:t xml:space="preserve">- DOCUMENTO DE TRABAJO N° 33. LOS PLAZOS DE PRESCRIPCIÓN DE LA ACCIÓN PENAL DE LA LEY DE RESPONSABILIDAD PENAL DE ADOLESCENTES FRENTE AL ART. 369 QUÁTER DEL CÓDIGO PENAL. Juan Pablo </w:t>
      </w:r>
      <w:proofErr w:type="spellStart"/>
      <w:r w:rsidRPr="0026598F">
        <w:rPr>
          <w:b/>
          <w:bCs/>
          <w:color w:val="1F4E79" w:themeColor="accent1" w:themeShade="80"/>
        </w:rPr>
        <w:t>Mañalich</w:t>
      </w:r>
      <w:proofErr w:type="spellEnd"/>
      <w:r w:rsidRPr="0026598F">
        <w:rPr>
          <w:b/>
          <w:bCs/>
          <w:color w:val="1F4E79" w:themeColor="accent1" w:themeShade="80"/>
        </w:rPr>
        <w:t xml:space="preserve"> R. Octubre de 2013, </w:t>
      </w:r>
      <w:r w:rsidRPr="0026598F">
        <w:rPr>
          <w:b/>
          <w:color w:val="1F4E79" w:themeColor="accent1" w:themeShade="80"/>
        </w:rPr>
        <w:t>disponible en</w:t>
      </w:r>
    </w:p>
    <w:p w:rsidR="009301E6" w:rsidRPr="0026598F" w:rsidRDefault="000E0984" w:rsidP="009301E6">
      <w:pPr>
        <w:pStyle w:val="Default"/>
        <w:jc w:val="both"/>
        <w:rPr>
          <w:b/>
          <w:color w:val="1F4E79" w:themeColor="accent1" w:themeShade="80"/>
          <w:sz w:val="22"/>
          <w:szCs w:val="22"/>
        </w:rPr>
      </w:pPr>
      <w:hyperlink r:id="rId12" w:history="1">
        <w:r w:rsidR="009301E6" w:rsidRPr="0026598F">
          <w:rPr>
            <w:rStyle w:val="Hipervnculo"/>
            <w:b/>
            <w:color w:val="1F4E79" w:themeColor="accent1" w:themeShade="80"/>
            <w:sz w:val="22"/>
            <w:szCs w:val="22"/>
          </w:rPr>
          <w:t>https://www.dropbox.com/sh/y17h449a8cwh6dw/AAC3eGDcOQ9O83cz80tdPOK0a?dl=0</w:t>
        </w:r>
      </w:hyperlink>
      <w:r w:rsidR="009301E6" w:rsidRPr="0026598F">
        <w:rPr>
          <w:b/>
          <w:color w:val="1F4E79" w:themeColor="accent1" w:themeShade="80"/>
          <w:sz w:val="22"/>
          <w:szCs w:val="22"/>
        </w:rPr>
        <w:t xml:space="preserve"> </w:t>
      </w: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</w:rPr>
      </w:pP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r w:rsidRPr="0026598F">
        <w:rPr>
          <w:b/>
          <w:bCs/>
          <w:color w:val="1F4E79" w:themeColor="accent1" w:themeShade="80"/>
        </w:rPr>
        <w:lastRenderedPageBreak/>
        <w:t xml:space="preserve">- </w:t>
      </w:r>
      <w:r w:rsidRPr="0026598F">
        <w:rPr>
          <w:b/>
          <w:bCs/>
          <w:color w:val="1F4E79" w:themeColor="accent1" w:themeShade="80"/>
          <w:sz w:val="22"/>
          <w:szCs w:val="22"/>
        </w:rPr>
        <w:t xml:space="preserve">DOCUMENTO DE TRABAJO N° 35. ADOLESCENTES, VIOLENCIA Y SUBJETIVIDAD: FUNDAMENTOS PSICOSOCIALES DE UN ENJUICIAMIENTO PENAL DIFERENCIADO. Jaime </w:t>
      </w:r>
      <w:proofErr w:type="spellStart"/>
      <w:r w:rsidRPr="0026598F">
        <w:rPr>
          <w:b/>
          <w:bCs/>
          <w:color w:val="1F4E79" w:themeColor="accent1" w:themeShade="80"/>
          <w:sz w:val="22"/>
          <w:szCs w:val="22"/>
        </w:rPr>
        <w:t>Couso</w:t>
      </w:r>
      <w:proofErr w:type="spellEnd"/>
      <w:r w:rsidRPr="0026598F">
        <w:rPr>
          <w:b/>
          <w:bCs/>
          <w:color w:val="1F4E79" w:themeColor="accent1" w:themeShade="80"/>
          <w:sz w:val="22"/>
          <w:szCs w:val="22"/>
        </w:rPr>
        <w:t xml:space="preserve"> Salas. Enero de 2018, disponible en</w:t>
      </w:r>
    </w:p>
    <w:p w:rsidR="009301E6" w:rsidRPr="0026598F" w:rsidRDefault="000E0984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hyperlink r:id="rId13" w:history="1">
        <w:r w:rsidR="009301E6" w:rsidRPr="0026598F">
          <w:rPr>
            <w:rStyle w:val="Hipervnculo"/>
            <w:b/>
            <w:color w:val="1F4E79" w:themeColor="accent1" w:themeShade="80"/>
            <w:sz w:val="22"/>
            <w:szCs w:val="22"/>
          </w:rPr>
          <w:t>https://www.dropbox.com/sh/y17h449a8cwh6dw/AAC3eGDcOQ9O83cz80tdPOK0a?dl=0</w:t>
        </w:r>
      </w:hyperlink>
      <w:r w:rsidR="009301E6" w:rsidRPr="0026598F">
        <w:rPr>
          <w:b/>
          <w:color w:val="1F4E79" w:themeColor="accent1" w:themeShade="80"/>
          <w:sz w:val="22"/>
          <w:szCs w:val="22"/>
        </w:rPr>
        <w:t xml:space="preserve"> </w:t>
      </w: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r w:rsidRPr="0026598F">
        <w:rPr>
          <w:b/>
          <w:bCs/>
          <w:color w:val="1F4E79" w:themeColor="accent1" w:themeShade="80"/>
          <w:sz w:val="22"/>
          <w:szCs w:val="22"/>
        </w:rPr>
        <w:t>- La internación provisoria: argumentos y estrategias para asegurar su excepcionalidad y brevedad. NOTA TÉCNICA N°4. Enero 2012. Unidad de Defensa Penal Juvenil, disponible en</w:t>
      </w:r>
    </w:p>
    <w:p w:rsidR="009301E6" w:rsidRPr="0026598F" w:rsidRDefault="000E0984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hyperlink r:id="rId14" w:history="1">
        <w:r w:rsidR="009301E6" w:rsidRPr="0026598F">
          <w:rPr>
            <w:rStyle w:val="Hipervnculo"/>
            <w:b/>
            <w:bCs/>
            <w:color w:val="1F4E79" w:themeColor="accent1" w:themeShade="80"/>
            <w:sz w:val="22"/>
            <w:szCs w:val="22"/>
          </w:rPr>
          <w:t>https://www.dropbox.com/sh/y17h449a8cwh6dw/AAC3eGDcOQ9O83cz80tdPOK0a?dl=0</w:t>
        </w:r>
      </w:hyperlink>
      <w:r w:rsidR="009301E6" w:rsidRPr="0026598F">
        <w:rPr>
          <w:b/>
          <w:bCs/>
          <w:color w:val="1F4E79" w:themeColor="accent1" w:themeShade="80"/>
          <w:sz w:val="22"/>
          <w:szCs w:val="22"/>
        </w:rPr>
        <w:t xml:space="preserve"> </w:t>
      </w: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r w:rsidRPr="0026598F">
        <w:rPr>
          <w:b/>
          <w:bCs/>
          <w:color w:val="1F4E79" w:themeColor="accent1" w:themeShade="80"/>
          <w:sz w:val="22"/>
          <w:szCs w:val="22"/>
        </w:rPr>
        <w:t>- Ley 20.931 en relación con la Ley 20.084 sobre responsabilidad penal adolescente NOTA TÉCNICA N°8. Enero 2017. UNIDAD DE DEFENSA PENAL ESPECIALIZADA, disponible en</w:t>
      </w:r>
    </w:p>
    <w:p w:rsidR="009301E6" w:rsidRPr="0026598F" w:rsidRDefault="000E0984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hyperlink r:id="rId15" w:history="1">
        <w:r w:rsidR="009301E6" w:rsidRPr="0026598F">
          <w:rPr>
            <w:rStyle w:val="Hipervnculo"/>
            <w:b/>
            <w:bCs/>
            <w:color w:val="1F4E79" w:themeColor="accent1" w:themeShade="80"/>
            <w:sz w:val="22"/>
            <w:szCs w:val="22"/>
          </w:rPr>
          <w:t>https://www.dropbox.com/sh/y17h449a8cwh6dw/AAC3eGDcOQ9O83cz80tdPOK0a?dl=0</w:t>
        </w:r>
      </w:hyperlink>
      <w:r w:rsidR="009301E6" w:rsidRPr="0026598F">
        <w:rPr>
          <w:b/>
          <w:bCs/>
          <w:color w:val="1F4E79" w:themeColor="accent1" w:themeShade="80"/>
          <w:sz w:val="22"/>
          <w:szCs w:val="22"/>
        </w:rPr>
        <w:t xml:space="preserve"> </w:t>
      </w: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</w:p>
    <w:p w:rsidR="009301E6" w:rsidRDefault="009301E6" w:rsidP="009301E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Jurisprudencia relevante en materia de Derecho Penal Juvenil</w:t>
      </w:r>
    </w:p>
    <w:p w:rsidR="009301E6" w:rsidRDefault="009301E6" w:rsidP="009301E6">
      <w:pPr>
        <w:pStyle w:val="Default"/>
        <w:jc w:val="both"/>
        <w:rPr>
          <w:b/>
          <w:bCs/>
          <w:sz w:val="22"/>
          <w:szCs w:val="22"/>
        </w:rPr>
      </w:pP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r w:rsidRPr="0026598F">
        <w:rPr>
          <w:b/>
          <w:bCs/>
          <w:color w:val="1F4E79" w:themeColor="accent1" w:themeShade="80"/>
          <w:sz w:val="22"/>
          <w:szCs w:val="22"/>
        </w:rPr>
        <w:t>Lectura:</w:t>
      </w: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r w:rsidRPr="0026598F">
        <w:rPr>
          <w:b/>
          <w:color w:val="1F4E79" w:themeColor="accent1" w:themeShade="80"/>
          <w:sz w:val="22"/>
          <w:szCs w:val="22"/>
        </w:rPr>
        <w:t xml:space="preserve">- </w:t>
      </w:r>
      <w:r w:rsidRPr="0026598F">
        <w:rPr>
          <w:b/>
          <w:bCs/>
          <w:color w:val="1F4E79" w:themeColor="accent1" w:themeShade="80"/>
          <w:sz w:val="22"/>
          <w:szCs w:val="22"/>
        </w:rPr>
        <w:t>Informe de jurisprudencia N°13 sobre la Ley Nº 20.084 de responsabilidad penal del adolescente, del año 2013, disponible en</w:t>
      </w:r>
    </w:p>
    <w:p w:rsidR="009301E6" w:rsidRPr="0026598F" w:rsidRDefault="000E0984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  <w:hyperlink r:id="rId16" w:history="1">
        <w:r w:rsidR="009301E6" w:rsidRPr="0026598F">
          <w:rPr>
            <w:rStyle w:val="Hipervnculo"/>
            <w:b/>
            <w:bCs/>
            <w:color w:val="1F4E79" w:themeColor="accent1" w:themeShade="80"/>
            <w:sz w:val="22"/>
            <w:szCs w:val="22"/>
          </w:rPr>
          <w:t>https://www.dropbox.com/sh/y17h449a8cwh6dw/AAC3eGDcOQ9O83cz80tdPOK0a?dl=0</w:t>
        </w:r>
      </w:hyperlink>
      <w:r w:rsidR="009301E6" w:rsidRPr="0026598F">
        <w:rPr>
          <w:b/>
          <w:bCs/>
          <w:color w:val="1F4E79" w:themeColor="accent1" w:themeShade="80"/>
          <w:sz w:val="22"/>
          <w:szCs w:val="22"/>
        </w:rPr>
        <w:t xml:space="preserve"> </w:t>
      </w:r>
    </w:p>
    <w:p w:rsidR="009301E6" w:rsidRPr="0026598F" w:rsidRDefault="009301E6" w:rsidP="009301E6">
      <w:pPr>
        <w:pStyle w:val="Default"/>
        <w:jc w:val="both"/>
        <w:rPr>
          <w:b/>
          <w:bCs/>
          <w:color w:val="1F4E79" w:themeColor="accent1" w:themeShade="80"/>
          <w:sz w:val="22"/>
          <w:szCs w:val="22"/>
        </w:rPr>
      </w:pPr>
    </w:p>
    <w:p w:rsidR="009301E6" w:rsidRDefault="009301E6" w:rsidP="009301E6">
      <w:pPr>
        <w:pStyle w:val="Default"/>
        <w:jc w:val="both"/>
        <w:rPr>
          <w:b/>
          <w:sz w:val="22"/>
          <w:szCs w:val="22"/>
        </w:rPr>
      </w:pPr>
      <w:r w:rsidRPr="00D20371">
        <w:rPr>
          <w:b/>
          <w:sz w:val="22"/>
          <w:szCs w:val="22"/>
        </w:rPr>
        <w:t>3. Derechos</w:t>
      </w:r>
      <w:r>
        <w:rPr>
          <w:b/>
          <w:sz w:val="22"/>
          <w:szCs w:val="22"/>
        </w:rPr>
        <w:t xml:space="preserve"> Humanos, específicamente, Convención sobre Derechos del Niño y reglas complementarias.</w:t>
      </w:r>
    </w:p>
    <w:p w:rsidR="009301E6" w:rsidRDefault="009301E6" w:rsidP="009301E6">
      <w:pPr>
        <w:pStyle w:val="Default"/>
        <w:jc w:val="both"/>
        <w:rPr>
          <w:b/>
          <w:sz w:val="22"/>
          <w:szCs w:val="22"/>
        </w:rPr>
      </w:pPr>
    </w:p>
    <w:p w:rsidR="009301E6" w:rsidRPr="0026598F" w:rsidRDefault="009301E6" w:rsidP="009301E6">
      <w:pPr>
        <w:pStyle w:val="Default"/>
        <w:jc w:val="both"/>
        <w:rPr>
          <w:b/>
          <w:color w:val="1F4E79" w:themeColor="accent1" w:themeShade="80"/>
          <w:sz w:val="22"/>
          <w:szCs w:val="22"/>
        </w:rPr>
      </w:pPr>
      <w:r w:rsidRPr="0026598F">
        <w:rPr>
          <w:b/>
          <w:color w:val="1F4E79" w:themeColor="accent1" w:themeShade="80"/>
          <w:sz w:val="22"/>
          <w:szCs w:val="22"/>
        </w:rPr>
        <w:t>Lecturas:</w:t>
      </w:r>
    </w:p>
    <w:p w:rsidR="009301E6" w:rsidRPr="0026598F" w:rsidRDefault="009301E6" w:rsidP="009301E6">
      <w:pPr>
        <w:pStyle w:val="Default"/>
        <w:jc w:val="both"/>
        <w:rPr>
          <w:b/>
          <w:color w:val="1F4E79" w:themeColor="accent1" w:themeShade="80"/>
          <w:sz w:val="22"/>
          <w:szCs w:val="22"/>
        </w:rPr>
      </w:pPr>
      <w:r w:rsidRPr="0026598F">
        <w:rPr>
          <w:b/>
          <w:bCs/>
          <w:color w:val="1F4E79" w:themeColor="accent1" w:themeShade="80"/>
          <w:sz w:val="22"/>
          <w:szCs w:val="22"/>
        </w:rPr>
        <w:t>- Convención sobre los derechos del niño</w:t>
      </w:r>
    </w:p>
    <w:p w:rsidR="009301E6" w:rsidRPr="0026598F" w:rsidRDefault="009301E6" w:rsidP="009301E6">
      <w:pPr>
        <w:pStyle w:val="Default"/>
        <w:jc w:val="both"/>
        <w:rPr>
          <w:b/>
          <w:color w:val="1F4E79" w:themeColor="accent1" w:themeShade="80"/>
          <w:sz w:val="22"/>
          <w:szCs w:val="22"/>
        </w:rPr>
      </w:pPr>
      <w:r w:rsidRPr="0026598F">
        <w:rPr>
          <w:b/>
          <w:color w:val="1F4E79" w:themeColor="accent1" w:themeShade="80"/>
          <w:sz w:val="22"/>
          <w:szCs w:val="22"/>
        </w:rPr>
        <w:t>- Reglas mínimas de las Naciones Unidas para la administración de la justicia de menores (“Reglas de Beijing”)</w:t>
      </w:r>
    </w:p>
    <w:p w:rsidR="009301E6" w:rsidRPr="0026598F" w:rsidRDefault="009301E6" w:rsidP="009301E6">
      <w:pPr>
        <w:pStyle w:val="Default"/>
        <w:jc w:val="both"/>
        <w:rPr>
          <w:b/>
          <w:color w:val="1F4E79" w:themeColor="accent1" w:themeShade="80"/>
          <w:sz w:val="22"/>
          <w:szCs w:val="22"/>
        </w:rPr>
      </w:pPr>
      <w:r w:rsidRPr="0026598F">
        <w:rPr>
          <w:b/>
          <w:color w:val="1F4E79" w:themeColor="accent1" w:themeShade="80"/>
          <w:sz w:val="22"/>
          <w:szCs w:val="22"/>
        </w:rPr>
        <w:t>- Reglas de las Naciones Unidas para la protección de los menores privados de libertad (“Reglas de la Habana”)</w:t>
      </w:r>
    </w:p>
    <w:p w:rsidR="009301E6" w:rsidRDefault="009301E6" w:rsidP="009301E6">
      <w:pPr>
        <w:pStyle w:val="Default"/>
        <w:jc w:val="both"/>
        <w:rPr>
          <w:sz w:val="22"/>
          <w:szCs w:val="22"/>
        </w:rPr>
      </w:pPr>
    </w:p>
    <w:p w:rsidR="009301E6" w:rsidRDefault="009301E6" w:rsidP="009301E6">
      <w:pPr>
        <w:pStyle w:val="Default"/>
        <w:jc w:val="both"/>
        <w:rPr>
          <w:b/>
          <w:sz w:val="22"/>
          <w:szCs w:val="22"/>
        </w:rPr>
      </w:pPr>
      <w:r w:rsidRPr="0008684C">
        <w:rPr>
          <w:b/>
          <w:sz w:val="22"/>
          <w:szCs w:val="22"/>
        </w:rPr>
        <w:t>4. Derecho penal y leyes penales especiales</w:t>
      </w:r>
    </w:p>
    <w:p w:rsidR="009301E6" w:rsidRDefault="009301E6" w:rsidP="009301E6">
      <w:pPr>
        <w:pStyle w:val="Default"/>
        <w:jc w:val="both"/>
        <w:rPr>
          <w:b/>
          <w:sz w:val="22"/>
          <w:szCs w:val="22"/>
        </w:rPr>
      </w:pPr>
    </w:p>
    <w:p w:rsidR="009301E6" w:rsidRPr="00915DBC" w:rsidRDefault="009301E6" w:rsidP="009301E6">
      <w:pPr>
        <w:pStyle w:val="Default"/>
        <w:spacing w:line="360" w:lineRule="auto"/>
        <w:jc w:val="both"/>
        <w:rPr>
          <w:b/>
          <w:sz w:val="22"/>
          <w:szCs w:val="22"/>
          <w:u w:val="single"/>
        </w:rPr>
      </w:pPr>
      <w:r w:rsidRPr="0008684C">
        <w:rPr>
          <w:b/>
          <w:sz w:val="22"/>
          <w:szCs w:val="22"/>
        </w:rPr>
        <w:t>4.1.</w:t>
      </w:r>
      <w:r>
        <w:rPr>
          <w:sz w:val="22"/>
          <w:szCs w:val="22"/>
        </w:rPr>
        <w:t xml:space="preserve"> </w:t>
      </w:r>
      <w:r w:rsidRPr="0008684C">
        <w:rPr>
          <w:b/>
          <w:bCs/>
          <w:sz w:val="22"/>
          <w:szCs w:val="22"/>
        </w:rPr>
        <w:t xml:space="preserve">Derecho Penal </w:t>
      </w:r>
      <w:r w:rsidRPr="0008684C">
        <w:rPr>
          <w:b/>
          <w:sz w:val="22"/>
          <w:szCs w:val="22"/>
        </w:rPr>
        <w:t>Parte General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 xml:space="preserve">Teoría de la ley penal: </w:t>
      </w:r>
    </w:p>
    <w:p w:rsidR="009301E6" w:rsidRPr="00EB7B65" w:rsidRDefault="009301E6" w:rsidP="009301E6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 xml:space="preserve">leyes penales en blanco; </w:t>
      </w:r>
    </w:p>
    <w:p w:rsidR="009301E6" w:rsidRPr="00EB7B65" w:rsidRDefault="009301E6" w:rsidP="009301E6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interpretación de la ley penal;</w:t>
      </w:r>
    </w:p>
    <w:p w:rsidR="009301E6" w:rsidRPr="00EB7B65" w:rsidRDefault="009301E6" w:rsidP="009301E6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efectos de la ley penal en el espacio;</w:t>
      </w:r>
    </w:p>
    <w:p w:rsidR="009301E6" w:rsidRPr="00EB7B65" w:rsidRDefault="009301E6" w:rsidP="009301E6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efectos de la ley penal en el tiempo;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Estructura del delito: concepto y clasificaciones (crímenes, simples delitos y faltas; delitos de dominio del hecho e infracción de un deber).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Teoría de la acción: casos de ausencia de acción (por ejemplo, actos reflejos).</w:t>
      </w:r>
    </w:p>
    <w:p w:rsidR="009301E6" w:rsidRPr="00EB7B65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lastRenderedPageBreak/>
        <w:t>Tipicidad: Faz objetiva y subjetiva del tipo. Formas excepcionales de los tipos (delitos calificados por el resultado, condiciones objetivas de punibilidad y delitos preterintencionales).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Antijuridicidad: concepto y causales de justificación.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Culpabilidad: Concepto y componentes (imputabilidad, conciencia de la ilicitud y exigibilidad). Excusas Legales absolutorias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Circunstancias Modificatorias de Responsabilidad Penal: circunstancias atenuantes, agravantes y mixta</w:t>
      </w:r>
      <w:r>
        <w:rPr>
          <w:sz w:val="22"/>
          <w:szCs w:val="22"/>
        </w:rPr>
        <w:t>s</w:t>
      </w:r>
      <w:r w:rsidRPr="00EB7B65">
        <w:rPr>
          <w:sz w:val="22"/>
          <w:szCs w:val="22"/>
        </w:rPr>
        <w:t>. Efectos según régimen de determinación de pena.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proofErr w:type="spellStart"/>
      <w:r w:rsidRPr="00EB7B65">
        <w:rPr>
          <w:sz w:val="22"/>
          <w:szCs w:val="22"/>
        </w:rPr>
        <w:t>Iter</w:t>
      </w:r>
      <w:proofErr w:type="spellEnd"/>
      <w:r w:rsidRPr="00EB7B65">
        <w:rPr>
          <w:sz w:val="22"/>
          <w:szCs w:val="22"/>
        </w:rPr>
        <w:t xml:space="preserve"> </w:t>
      </w:r>
      <w:proofErr w:type="spellStart"/>
      <w:r w:rsidRPr="00EB7B65">
        <w:rPr>
          <w:sz w:val="22"/>
          <w:szCs w:val="22"/>
        </w:rPr>
        <w:t>criminis</w:t>
      </w:r>
      <w:proofErr w:type="spellEnd"/>
      <w:r w:rsidRPr="00EB7B65">
        <w:rPr>
          <w:sz w:val="22"/>
          <w:szCs w:val="22"/>
        </w:rPr>
        <w:t>.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 xml:space="preserve">Autoría y participación (concurso de personas). 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Concurso de delitos: Unidad del delito (unidad natural, unidad jurídica y delito continuado); concurso real; concurso ideal; concurso aparente de leyes penales.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Teoría del delito omisivo: concepto, clasificación (delitos de omisión propia e impropia) y aplicación de las reglas generales a estos delitos.</w:t>
      </w:r>
    </w:p>
    <w:p w:rsidR="009301E6" w:rsidRPr="00A0577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A05775">
        <w:rPr>
          <w:sz w:val="22"/>
          <w:szCs w:val="22"/>
        </w:rPr>
        <w:t>Penas:</w:t>
      </w:r>
    </w:p>
    <w:p w:rsidR="009301E6" w:rsidRPr="00A05775" w:rsidRDefault="009301E6" w:rsidP="009301E6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05775">
        <w:rPr>
          <w:rFonts w:cstheme="minorBidi"/>
          <w:color w:val="auto"/>
          <w:sz w:val="22"/>
          <w:szCs w:val="22"/>
        </w:rPr>
        <w:t>Concepto y clasificaciones.</w:t>
      </w:r>
    </w:p>
    <w:p w:rsidR="009301E6" w:rsidRDefault="009301E6" w:rsidP="009301E6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05775">
        <w:rPr>
          <w:sz w:val="22"/>
          <w:szCs w:val="22"/>
        </w:rPr>
        <w:t>Determinación de la pena: régimen general y sistemas especiales (Ley de Control de Armas, Ley del Tránsito, Ley 20.931)</w:t>
      </w:r>
    </w:p>
    <w:p w:rsidR="009301E6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Causales de extinción de la responsabilidad penal.</w:t>
      </w:r>
    </w:p>
    <w:p w:rsidR="009301E6" w:rsidRPr="00EB7B65" w:rsidRDefault="009301E6" w:rsidP="009301E6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Faltas</w:t>
      </w:r>
    </w:p>
    <w:p w:rsidR="009301E6" w:rsidRPr="0026598F" w:rsidRDefault="009301E6" w:rsidP="009301E6">
      <w:pPr>
        <w:pStyle w:val="Sinespaciado"/>
        <w:spacing w:line="360" w:lineRule="auto"/>
        <w:ind w:firstLine="708"/>
        <w:jc w:val="both"/>
        <w:rPr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/>
          <w:b/>
          <w:color w:val="1F4E79" w:themeColor="accent1" w:themeShade="80"/>
        </w:rPr>
        <w:t>Lectura para toda Parte General:</w:t>
      </w:r>
    </w:p>
    <w:p w:rsidR="009301E6" w:rsidRPr="0026598F" w:rsidRDefault="009301E6" w:rsidP="009301E6">
      <w:pPr>
        <w:spacing w:after="0" w:line="360" w:lineRule="auto"/>
        <w:ind w:left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6598F">
        <w:rPr>
          <w:rFonts w:ascii="Calibri" w:eastAsia="Calibri" w:hAnsi="Calibri" w:cs="Arial"/>
          <w:b/>
          <w:color w:val="1F4E79" w:themeColor="accent1" w:themeShade="80"/>
        </w:rPr>
        <w:t>- Código Penal</w:t>
      </w:r>
    </w:p>
    <w:p w:rsidR="009301E6" w:rsidRPr="0026598F" w:rsidRDefault="009301E6" w:rsidP="009301E6">
      <w:pPr>
        <w:spacing w:after="0" w:line="360" w:lineRule="auto"/>
        <w:ind w:left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6598F">
        <w:rPr>
          <w:rFonts w:ascii="Calibri" w:eastAsia="Calibri" w:hAnsi="Calibri" w:cs="Arial"/>
          <w:b/>
          <w:color w:val="1F4E79" w:themeColor="accent1" w:themeShade="80"/>
        </w:rPr>
        <w:t xml:space="preserve">- Derecho Penal; Parte General; Enrique </w:t>
      </w:r>
      <w:proofErr w:type="spellStart"/>
      <w:r w:rsidRPr="0026598F">
        <w:rPr>
          <w:rFonts w:ascii="Calibri" w:eastAsia="Calibri" w:hAnsi="Calibri" w:cs="Arial"/>
          <w:b/>
          <w:color w:val="1F4E79" w:themeColor="accent1" w:themeShade="80"/>
        </w:rPr>
        <w:t>Cury</w:t>
      </w:r>
      <w:proofErr w:type="spellEnd"/>
      <w:r w:rsidRPr="0026598F">
        <w:rPr>
          <w:rFonts w:ascii="Calibri" w:eastAsia="Calibri" w:hAnsi="Calibri" w:cs="Arial"/>
          <w:b/>
          <w:color w:val="1F4E79" w:themeColor="accent1" w:themeShade="80"/>
        </w:rPr>
        <w:t xml:space="preserve"> Urzúa; Novena Edición; 2009</w:t>
      </w:r>
    </w:p>
    <w:p w:rsidR="009301E6" w:rsidRPr="0008684C" w:rsidRDefault="009301E6" w:rsidP="009301E6">
      <w:pPr>
        <w:pStyle w:val="Default"/>
        <w:spacing w:line="360" w:lineRule="auto"/>
        <w:jc w:val="both"/>
        <w:rPr>
          <w:sz w:val="22"/>
          <w:szCs w:val="22"/>
        </w:rPr>
      </w:pPr>
      <w:r w:rsidRPr="0008684C">
        <w:rPr>
          <w:b/>
          <w:bCs/>
          <w:sz w:val="22"/>
          <w:szCs w:val="22"/>
        </w:rPr>
        <w:t>4.2. Derecho Penal</w:t>
      </w:r>
      <w:r w:rsidRPr="0008684C">
        <w:rPr>
          <w:b/>
          <w:sz w:val="22"/>
          <w:szCs w:val="22"/>
        </w:rPr>
        <w:t xml:space="preserve"> Parte Especial</w:t>
      </w:r>
    </w:p>
    <w:p w:rsidR="009301E6" w:rsidRDefault="009301E6" w:rsidP="009301E6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10902">
        <w:rPr>
          <w:b/>
          <w:i/>
          <w:sz w:val="22"/>
          <w:szCs w:val="22"/>
          <w:u w:val="single"/>
        </w:rPr>
        <w:t>Delitos contra la</w:t>
      </w:r>
      <w:r>
        <w:rPr>
          <w:b/>
          <w:i/>
          <w:sz w:val="22"/>
          <w:szCs w:val="22"/>
          <w:u w:val="single"/>
        </w:rPr>
        <w:t>s personas (menos calumnias e injurias)</w:t>
      </w:r>
    </w:p>
    <w:p w:rsidR="009301E6" w:rsidRPr="00EB7B65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Delitos del título VIII del Libro II del Código Penal (delitos contra las personas)</w:t>
      </w:r>
    </w:p>
    <w:p w:rsidR="009301E6" w:rsidRPr="007728D5" w:rsidRDefault="009301E6" w:rsidP="009301E6">
      <w:pPr>
        <w:pStyle w:val="Prrafodelista"/>
        <w:spacing w:after="0" w:line="360" w:lineRule="auto"/>
        <w:jc w:val="both"/>
        <w:rPr>
          <w:rFonts w:ascii="Calibri" w:hAnsi="Calibri" w:cs="Arial"/>
          <w:b/>
        </w:rPr>
      </w:pPr>
      <w:r w:rsidRPr="007728D5">
        <w:rPr>
          <w:rFonts w:ascii="Calibri" w:hAnsi="Calibri" w:cs="Arial"/>
          <w:b/>
        </w:rPr>
        <w:t>Lectura: Delitos contra la vida humana independiente</w:t>
      </w:r>
    </w:p>
    <w:p w:rsidR="009301E6" w:rsidRPr="007728D5" w:rsidRDefault="009301E6" w:rsidP="009301E6">
      <w:pPr>
        <w:pStyle w:val="Prrafodelista"/>
        <w:spacing w:after="0" w:line="360" w:lineRule="auto"/>
        <w:jc w:val="both"/>
        <w:rPr>
          <w:rFonts w:ascii="Calibri" w:hAnsi="Calibri" w:cs="Arial"/>
          <w:b/>
        </w:rPr>
      </w:pPr>
      <w:r w:rsidRPr="007728D5">
        <w:rPr>
          <w:rFonts w:ascii="Calibri" w:hAnsi="Calibri" w:cs="Arial"/>
          <w:b/>
        </w:rPr>
        <w:t>Lectura: Delitos contra la salud individual (lesiones)</w:t>
      </w:r>
    </w:p>
    <w:p w:rsidR="009301E6" w:rsidRPr="00F61E21" w:rsidRDefault="009301E6" w:rsidP="009301E6">
      <w:pPr>
        <w:spacing w:after="120" w:line="360" w:lineRule="auto"/>
        <w:ind w:left="709"/>
        <w:jc w:val="both"/>
        <w:rPr>
          <w:rFonts w:cs="Arial"/>
          <w:b/>
          <w:color w:val="0070C0"/>
        </w:rPr>
      </w:pPr>
      <w:r w:rsidRPr="007728D5">
        <w:rPr>
          <w:rFonts w:cs="Arial"/>
          <w:b/>
        </w:rPr>
        <w:t>Lectura: Delitos contra la libertad de autodeterminación y la seguridad individual</w:t>
      </w:r>
    </w:p>
    <w:p w:rsidR="009301E6" w:rsidRPr="007728D5" w:rsidRDefault="009301E6" w:rsidP="009301E6">
      <w:pPr>
        <w:spacing w:after="120" w:line="360" w:lineRule="auto"/>
        <w:ind w:left="709"/>
        <w:jc w:val="both"/>
      </w:pPr>
      <w:r w:rsidRPr="007728D5">
        <w:rPr>
          <w:rFonts w:cs="Arial"/>
        </w:rPr>
        <w:t xml:space="preserve">- </w:t>
      </w:r>
      <w:proofErr w:type="spellStart"/>
      <w:r w:rsidRPr="007728D5">
        <w:rPr>
          <w:rFonts w:cs="Arial"/>
        </w:rPr>
        <w:t>Politoff</w:t>
      </w:r>
      <w:proofErr w:type="spellEnd"/>
      <w:r w:rsidRPr="007728D5">
        <w:rPr>
          <w:rFonts w:cs="Arial"/>
        </w:rPr>
        <w:t>, Matus y Ramírez</w:t>
      </w:r>
      <w:r w:rsidRPr="007728D5">
        <w:t xml:space="preserve">; </w:t>
      </w:r>
      <w:r w:rsidRPr="007728D5">
        <w:rPr>
          <w:rFonts w:cs="Arial"/>
        </w:rPr>
        <w:t>Lecciones de Derecho Penal Chileno, Parte General; Tomo I; Segunda Edición Actualizada; Editorial Jurídica de Chile; Santiago; 2006</w:t>
      </w:r>
    </w:p>
    <w:p w:rsidR="009301E6" w:rsidRPr="0026598F" w:rsidRDefault="009301E6" w:rsidP="009301E6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Minu</w:t>
      </w:r>
      <w:r w:rsidR="000E0984">
        <w:rPr>
          <w:rFonts w:ascii="Calibri" w:hAnsi="Calibri" w:cs="Arial"/>
          <w:b/>
          <w:color w:val="1F4E79" w:themeColor="accent1" w:themeShade="80"/>
        </w:rPr>
        <w:t xml:space="preserve">ta “El delito de </w:t>
      </w:r>
      <w:proofErr w:type="spellStart"/>
      <w:r w:rsidR="000E0984">
        <w:rPr>
          <w:rFonts w:ascii="Calibri" w:hAnsi="Calibri" w:cs="Arial"/>
          <w:b/>
          <w:color w:val="1F4E79" w:themeColor="accent1" w:themeShade="80"/>
        </w:rPr>
        <w:t>femicidio</w:t>
      </w:r>
      <w:proofErr w:type="spellEnd"/>
      <w:r w:rsidR="000E0984">
        <w:rPr>
          <w:rFonts w:ascii="Calibri" w:hAnsi="Calibri" w:cs="Arial"/>
          <w:b/>
          <w:color w:val="1F4E79" w:themeColor="accent1" w:themeShade="80"/>
        </w:rPr>
        <w:t>.</w:t>
      </w:r>
    </w:p>
    <w:p w:rsidR="009301E6" w:rsidRDefault="009301E6" w:rsidP="009301E6">
      <w:pPr>
        <w:spacing w:after="120" w:line="360" w:lineRule="auto"/>
        <w:ind w:left="709"/>
        <w:jc w:val="both"/>
        <w:rPr>
          <w:rFonts w:cs="Arial"/>
          <w:b/>
          <w:color w:val="1F4E79" w:themeColor="accent1" w:themeShade="80"/>
        </w:rPr>
      </w:pPr>
      <w:r w:rsidRPr="0026598F">
        <w:rPr>
          <w:rFonts w:cs="Arial"/>
          <w:b/>
          <w:bCs/>
          <w:color w:val="1F4E79" w:themeColor="accent1" w:themeShade="80"/>
        </w:rPr>
        <w:t>Lectura: Ley N° 20.507 Tipifica </w:t>
      </w:r>
      <w:r w:rsidRPr="0026598F">
        <w:rPr>
          <w:rStyle w:val="solext2"/>
          <w:rFonts w:cs="Arial"/>
          <w:b/>
          <w:bCs/>
          <w:color w:val="1F4E79" w:themeColor="accent1" w:themeShade="80"/>
        </w:rPr>
        <w:t>los</w:t>
      </w:r>
      <w:r w:rsidRPr="0026598F">
        <w:rPr>
          <w:rFonts w:cs="Arial"/>
          <w:b/>
          <w:bCs/>
          <w:color w:val="1F4E79" w:themeColor="accent1" w:themeShade="80"/>
        </w:rPr>
        <w:t> delitos de tráfico ilícito de migrantes y trata de personas y establece normas para su prevención y más efectiva persecución criminal N°5/2011/Agosto. Minuta - Departamento de Estudios - Defensoría Nacional</w:t>
      </w:r>
      <w:r w:rsidR="000E0984">
        <w:rPr>
          <w:rFonts w:cs="Arial"/>
          <w:b/>
          <w:color w:val="1F4E79" w:themeColor="accent1" w:themeShade="80"/>
        </w:rPr>
        <w:t>.</w:t>
      </w:r>
    </w:p>
    <w:p w:rsidR="000E0984" w:rsidRPr="0026598F" w:rsidRDefault="000E0984" w:rsidP="009301E6">
      <w:pPr>
        <w:spacing w:after="120" w:line="360" w:lineRule="auto"/>
        <w:ind w:left="709"/>
        <w:jc w:val="both"/>
        <w:rPr>
          <w:rFonts w:cs="Arial"/>
          <w:b/>
          <w:color w:val="1F4E79" w:themeColor="accent1" w:themeShade="80"/>
        </w:rPr>
      </w:pPr>
      <w:hyperlink r:id="rId17" w:history="1">
        <w:r>
          <w:rPr>
            <w:rStyle w:val="Hipervnculo"/>
          </w:rPr>
          <w:t>https://www.dropbox.com/sh/y17h449a8cwh6dw/AAC3eGDcOQ9O83cz80tdPOK0a?dl=0</w:t>
        </w:r>
      </w:hyperlink>
    </w:p>
    <w:p w:rsidR="009301E6" w:rsidRDefault="009301E6" w:rsidP="009301E6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10902">
        <w:rPr>
          <w:b/>
          <w:i/>
          <w:sz w:val="22"/>
          <w:szCs w:val="22"/>
          <w:u w:val="single"/>
        </w:rPr>
        <w:t>Delitos contra la propiedad y el patrimonio</w:t>
      </w:r>
    </w:p>
    <w:p w:rsidR="009301E6" w:rsidRPr="00EB7B65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Delitos del título IX del Libro II del Código Penal (delitos contra la propiedad), salvo delitos concursales.</w:t>
      </w:r>
    </w:p>
    <w:p w:rsidR="009301E6" w:rsidRPr="0026598F" w:rsidRDefault="009301E6" w:rsidP="009301E6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Delitos contra la propiedad y el patrimonio y delitos de enriquecimiento por apoderamiento, sin violencia: hurtos</w:t>
      </w:r>
    </w:p>
    <w:p w:rsidR="009301E6" w:rsidRPr="0026598F" w:rsidRDefault="009301E6" w:rsidP="009301E6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Delitos de apoderamiento sin violencia, con peligro para las personas: Robo con fuerza en las cosas</w:t>
      </w:r>
    </w:p>
    <w:p w:rsidR="009301E6" w:rsidRPr="0026598F" w:rsidRDefault="009301E6" w:rsidP="009301E6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Delitos de enriquecimiento por apoderamiento, con peligro o daño de la vida, salud o seguridad de las personas: Robo con violencia o intimidación</w:t>
      </w:r>
    </w:p>
    <w:p w:rsidR="009301E6" w:rsidRPr="0026598F" w:rsidRDefault="009301E6" w:rsidP="009301E6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Disposiciones comunes a los delitos de hurto y robo</w:t>
      </w:r>
    </w:p>
    <w:p w:rsidR="009301E6" w:rsidRPr="0026598F" w:rsidRDefault="009301E6" w:rsidP="009301E6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Delitos de enriquecimiento por ocupación y usurpación de propiedades y derechos inmuebles, y de derechos reales de aprovechamiento de aguas</w:t>
      </w:r>
    </w:p>
    <w:p w:rsidR="009301E6" w:rsidRPr="0026598F" w:rsidRDefault="009301E6" w:rsidP="009301E6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Delitos de enriquecimiento por defraudación: estafas y otros engaños</w:t>
      </w:r>
    </w:p>
    <w:p w:rsidR="009301E6" w:rsidRPr="0026598F" w:rsidRDefault="009301E6" w:rsidP="009301E6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Delitos contra la destrucción contra la propiedad y el patrimonio</w:t>
      </w:r>
    </w:p>
    <w:p w:rsidR="009301E6" w:rsidRPr="0026598F" w:rsidRDefault="009301E6" w:rsidP="009301E6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 xml:space="preserve">- </w:t>
      </w:r>
      <w:proofErr w:type="spellStart"/>
      <w:r w:rsidRPr="0026598F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26598F">
        <w:rPr>
          <w:rFonts w:ascii="Calibri" w:hAnsi="Calibri" w:cs="Arial"/>
          <w:b/>
          <w:color w:val="1F4E79" w:themeColor="accent1" w:themeShade="80"/>
        </w:rPr>
        <w:t>, Matus y Ramírez</w:t>
      </w:r>
      <w:r w:rsidRPr="0026598F">
        <w:rPr>
          <w:rFonts w:ascii="Calibri" w:hAnsi="Calibri"/>
          <w:b/>
          <w:color w:val="1F4E79" w:themeColor="accent1" w:themeShade="80"/>
        </w:rPr>
        <w:t xml:space="preserve">; </w:t>
      </w:r>
      <w:r w:rsidRPr="0026598F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9301E6" w:rsidRDefault="009301E6" w:rsidP="009301E6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 xml:space="preserve"> - “Minuta sobre las modificaciones introducidas por la Ley 20.931, denominada “Ley de Agenda Corta”; Departamento de Estudio</w:t>
      </w:r>
      <w:r w:rsidR="000E0984">
        <w:rPr>
          <w:rFonts w:ascii="Calibri" w:hAnsi="Calibri" w:cs="Arial"/>
          <w:b/>
          <w:color w:val="1F4E79" w:themeColor="accent1" w:themeShade="80"/>
        </w:rPr>
        <w:t>s; Defensoría Penal Pública.</w:t>
      </w:r>
    </w:p>
    <w:p w:rsidR="000E0984" w:rsidRPr="0026598F" w:rsidRDefault="000E0984" w:rsidP="009301E6">
      <w:pPr>
        <w:spacing w:after="0" w:line="360" w:lineRule="auto"/>
        <w:ind w:left="708" w:hanging="3"/>
        <w:jc w:val="both"/>
        <w:rPr>
          <w:rStyle w:val="Hipervnculo"/>
          <w:rFonts w:ascii="Calibri" w:hAnsi="Calibri" w:cs="Arial"/>
          <w:b/>
          <w:color w:val="1F4E79" w:themeColor="accent1" w:themeShade="80"/>
        </w:rPr>
      </w:pPr>
      <w:hyperlink r:id="rId18" w:history="1">
        <w:r>
          <w:rPr>
            <w:rStyle w:val="Hipervnculo"/>
          </w:rPr>
          <w:t>https://www.dropbox.com/sh/y17h449a8cwh6dw/AAC3eGDcOQ9O83cz80tdPOK0a?dl=0</w:t>
        </w:r>
      </w:hyperlink>
    </w:p>
    <w:p w:rsidR="009301E6" w:rsidRPr="009A44B3" w:rsidRDefault="009301E6" w:rsidP="009301E6">
      <w:pPr>
        <w:pStyle w:val="Default"/>
        <w:spacing w:line="360" w:lineRule="auto"/>
        <w:ind w:left="720"/>
        <w:jc w:val="both"/>
        <w:rPr>
          <w:b/>
          <w:i/>
          <w:sz w:val="22"/>
          <w:szCs w:val="22"/>
          <w:u w:val="single"/>
        </w:rPr>
      </w:pPr>
    </w:p>
    <w:p w:rsidR="009301E6" w:rsidRDefault="009301E6" w:rsidP="009301E6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A44B3">
        <w:rPr>
          <w:b/>
          <w:i/>
          <w:sz w:val="22"/>
          <w:szCs w:val="22"/>
          <w:u w:val="single"/>
        </w:rPr>
        <w:t>Delitos de coacción y contra la libertad e intimidad de las personas</w:t>
      </w:r>
    </w:p>
    <w:p w:rsidR="009301E6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Crímenes y simples delitos contra la libertad y seguridad, cometidos por particulares, del párrafo 3 del título III del Libro II del Código Penal.</w:t>
      </w:r>
    </w:p>
    <w:p w:rsidR="009301E6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De los agravios inferidos por funcionarios público a los derechos garantizados por la Constitución, del párrafo 4 del título II del Libro III del Código Penal.</w:t>
      </w:r>
    </w:p>
    <w:p w:rsidR="009301E6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De los delitos contra el respeto y protección a la vida privada y pública de la persona y su familia, del párrafo 5 del título III del Libro II del Código Penal.</w:t>
      </w:r>
    </w:p>
    <w:p w:rsidR="009301E6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Atentados y amenazas contra fiscales del Ministerio Público y defensores penales públicos del párrafo 1 bis del título VI del Libro II del Código Penal.</w:t>
      </w:r>
    </w:p>
    <w:p w:rsidR="009301E6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De las amenazas de atentado contra las personas y propiedades del párrafo 11 del título VI del Libro II del Código Penal.</w:t>
      </w:r>
    </w:p>
    <w:p w:rsidR="009301E6" w:rsidRPr="0026598F" w:rsidRDefault="009301E6" w:rsidP="009301E6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Delitos contra la libertad de autodeterminación y la seguridad individual</w:t>
      </w:r>
    </w:p>
    <w:p w:rsidR="009301E6" w:rsidRPr="0026598F" w:rsidRDefault="009301E6" w:rsidP="009301E6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Delitos contra la libertad ambulatoria y la seguridad individual</w:t>
      </w:r>
    </w:p>
    <w:p w:rsidR="009301E6" w:rsidRPr="0026598F" w:rsidRDefault="009301E6" w:rsidP="009301E6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 xml:space="preserve">- </w:t>
      </w:r>
      <w:proofErr w:type="spellStart"/>
      <w:r w:rsidRPr="0026598F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26598F">
        <w:rPr>
          <w:rFonts w:ascii="Calibri" w:hAnsi="Calibri" w:cs="Arial"/>
          <w:b/>
          <w:color w:val="1F4E79" w:themeColor="accent1" w:themeShade="80"/>
        </w:rPr>
        <w:t>, Matus y Ramírez</w:t>
      </w:r>
      <w:r w:rsidRPr="0026598F">
        <w:rPr>
          <w:rFonts w:ascii="Calibri" w:hAnsi="Calibri"/>
          <w:b/>
          <w:color w:val="1F4E79" w:themeColor="accent1" w:themeShade="80"/>
        </w:rPr>
        <w:t xml:space="preserve">; </w:t>
      </w:r>
      <w:r w:rsidRPr="0026598F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9301E6" w:rsidRPr="0026598F" w:rsidRDefault="009301E6" w:rsidP="009301E6">
      <w:pPr>
        <w:pStyle w:val="Default"/>
        <w:spacing w:line="360" w:lineRule="auto"/>
        <w:ind w:left="720"/>
        <w:jc w:val="both"/>
        <w:rPr>
          <w:b/>
          <w:color w:val="1F4E79" w:themeColor="accent1" w:themeShade="80"/>
          <w:sz w:val="22"/>
          <w:szCs w:val="22"/>
        </w:rPr>
      </w:pPr>
      <w:r w:rsidRPr="0026598F">
        <w:rPr>
          <w:b/>
          <w:color w:val="1F4E79" w:themeColor="accent1" w:themeShade="80"/>
          <w:sz w:val="22"/>
          <w:szCs w:val="22"/>
        </w:rPr>
        <w:t>Lectura: Protección Penal de la Integridad Física y Psíquica de la Persona (II). Delitos de tortura y otros tratos crueles, inhumanos y degradantes</w:t>
      </w:r>
    </w:p>
    <w:p w:rsidR="009301E6" w:rsidRPr="0026598F" w:rsidRDefault="009301E6" w:rsidP="009301E6">
      <w:pPr>
        <w:pStyle w:val="Sinespaciado"/>
        <w:spacing w:line="360" w:lineRule="auto"/>
        <w:ind w:left="708"/>
        <w:jc w:val="both"/>
        <w:rPr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/>
          <w:b/>
          <w:color w:val="1F4E79" w:themeColor="accent1" w:themeShade="80"/>
        </w:rPr>
        <w:t xml:space="preserve">- Matus Acuña, Jean Pierre y Ramírez Guzmán, María Cecilia; “Manuela de Derecho Penal Chileno”; Parte Especial; Editorial </w:t>
      </w:r>
      <w:proofErr w:type="spellStart"/>
      <w:r w:rsidRPr="0026598F">
        <w:rPr>
          <w:rFonts w:ascii="Calibri" w:hAnsi="Calibri"/>
          <w:b/>
          <w:color w:val="1F4E79" w:themeColor="accent1" w:themeShade="80"/>
        </w:rPr>
        <w:t>Turant</w:t>
      </w:r>
      <w:proofErr w:type="spellEnd"/>
      <w:r w:rsidRPr="0026598F">
        <w:rPr>
          <w:rFonts w:ascii="Calibri" w:hAnsi="Calibri"/>
          <w:b/>
          <w:color w:val="1F4E79" w:themeColor="accent1" w:themeShade="80"/>
        </w:rPr>
        <w:t xml:space="preserve"> lo Blanch; Valencia; 2017</w:t>
      </w:r>
    </w:p>
    <w:p w:rsidR="009301E6" w:rsidRPr="00942912" w:rsidRDefault="009301E6" w:rsidP="009301E6">
      <w:pPr>
        <w:pStyle w:val="Default"/>
        <w:spacing w:line="360" w:lineRule="auto"/>
        <w:ind w:left="720"/>
        <w:jc w:val="both"/>
        <w:rPr>
          <w:b/>
          <w:i/>
          <w:sz w:val="22"/>
          <w:szCs w:val="22"/>
          <w:u w:val="single"/>
        </w:rPr>
      </w:pPr>
    </w:p>
    <w:p w:rsidR="009301E6" w:rsidRPr="00942912" w:rsidRDefault="009301E6" w:rsidP="009301E6">
      <w:pPr>
        <w:pStyle w:val="Default"/>
        <w:numPr>
          <w:ilvl w:val="0"/>
          <w:numId w:val="5"/>
        </w:num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942912">
        <w:rPr>
          <w:b/>
          <w:i/>
          <w:sz w:val="22"/>
          <w:szCs w:val="22"/>
          <w:u w:val="single"/>
        </w:rPr>
        <w:t>Delitos contra la libertad e indemnidad sexual</w:t>
      </w:r>
    </w:p>
    <w:p w:rsidR="009301E6" w:rsidRPr="00EB7B65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Crímenes y delitos contra el orden de las familias, contra la moralidad pública y contra la integridad sexual </w:t>
      </w:r>
      <w:r w:rsidRPr="00EB7B65">
        <w:rPr>
          <w:sz w:val="22"/>
          <w:szCs w:val="22"/>
        </w:rPr>
        <w:t>del título VII del Libro II del Código Penal</w:t>
      </w:r>
      <w:r>
        <w:rPr>
          <w:sz w:val="22"/>
          <w:szCs w:val="22"/>
        </w:rPr>
        <w:t xml:space="preserve"> (menos párrafos 2, abandono de niños y personas desvalidas, párrafo 3, crímenes y simples delitos contra el estado civil de las personas y párrafo 10, celebración de matrimonios ilegales)</w:t>
      </w:r>
    </w:p>
    <w:p w:rsidR="009301E6" w:rsidRPr="0026598F" w:rsidRDefault="009301E6" w:rsidP="009301E6">
      <w:pPr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Delitos contra la vida humana dependiente (aborto)</w:t>
      </w:r>
    </w:p>
    <w:p w:rsidR="009301E6" w:rsidRPr="0026598F" w:rsidRDefault="009301E6" w:rsidP="009301E6">
      <w:pPr>
        <w:spacing w:after="0" w:line="360" w:lineRule="auto"/>
        <w:ind w:left="705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Delitos contra la libertad e indemnidad sexual y la honestidad</w:t>
      </w:r>
    </w:p>
    <w:p w:rsidR="009301E6" w:rsidRPr="0026598F" w:rsidRDefault="009301E6" w:rsidP="009301E6">
      <w:pPr>
        <w:spacing w:after="0" w:line="360" w:lineRule="auto"/>
        <w:ind w:left="708" w:hanging="3"/>
        <w:jc w:val="both"/>
        <w:rPr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 xml:space="preserve">- </w:t>
      </w:r>
      <w:proofErr w:type="spellStart"/>
      <w:r w:rsidRPr="0026598F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26598F">
        <w:rPr>
          <w:rFonts w:ascii="Calibri" w:hAnsi="Calibri" w:cs="Arial"/>
          <w:b/>
          <w:color w:val="1F4E79" w:themeColor="accent1" w:themeShade="80"/>
        </w:rPr>
        <w:t>, Matus y Ramírez</w:t>
      </w:r>
      <w:r w:rsidRPr="0026598F">
        <w:rPr>
          <w:rFonts w:ascii="Calibri" w:hAnsi="Calibri"/>
          <w:b/>
          <w:color w:val="1F4E79" w:themeColor="accent1" w:themeShade="80"/>
        </w:rPr>
        <w:t xml:space="preserve">; </w:t>
      </w:r>
      <w:r w:rsidRPr="0026598F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9301E6" w:rsidRPr="0087020C" w:rsidRDefault="009301E6" w:rsidP="009301E6">
      <w:pPr>
        <w:pStyle w:val="Prrafodelista"/>
        <w:spacing w:after="0" w:line="360" w:lineRule="auto"/>
        <w:jc w:val="both"/>
        <w:rPr>
          <w:rFonts w:ascii="Calibri" w:hAnsi="Calibri"/>
          <w:b/>
          <w:i/>
          <w:color w:val="0070C0"/>
          <w:u w:val="single"/>
        </w:rPr>
      </w:pPr>
    </w:p>
    <w:p w:rsidR="009301E6" w:rsidRPr="0087020C" w:rsidRDefault="009301E6" w:rsidP="009301E6">
      <w:pPr>
        <w:pStyle w:val="Default"/>
        <w:numPr>
          <w:ilvl w:val="0"/>
          <w:numId w:val="5"/>
        </w:num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87020C">
        <w:rPr>
          <w:b/>
          <w:i/>
          <w:sz w:val="22"/>
          <w:szCs w:val="22"/>
          <w:u w:val="single"/>
        </w:rPr>
        <w:t>Delitos imprudentes</w:t>
      </w:r>
    </w:p>
    <w:p w:rsidR="009301E6" w:rsidRPr="00EB7B65" w:rsidRDefault="009301E6" w:rsidP="009301E6">
      <w:pPr>
        <w:pStyle w:val="Default"/>
        <w:spacing w:line="360" w:lineRule="auto"/>
        <w:ind w:left="720"/>
        <w:jc w:val="both"/>
        <w:rPr>
          <w:color w:val="000000" w:themeColor="text1"/>
          <w:sz w:val="22"/>
          <w:szCs w:val="22"/>
        </w:rPr>
      </w:pPr>
      <w:r w:rsidRPr="00EB7B65">
        <w:rPr>
          <w:color w:val="000000" w:themeColor="text1"/>
          <w:sz w:val="22"/>
          <w:szCs w:val="22"/>
        </w:rPr>
        <w:t>De</w:t>
      </w:r>
      <w:r>
        <w:rPr>
          <w:color w:val="000000" w:themeColor="text1"/>
          <w:sz w:val="22"/>
          <w:szCs w:val="22"/>
        </w:rPr>
        <w:t xml:space="preserve"> los Cuasidelitos del </w:t>
      </w:r>
      <w:r w:rsidRPr="00EB7B65">
        <w:rPr>
          <w:color w:val="000000" w:themeColor="text1"/>
          <w:sz w:val="22"/>
          <w:szCs w:val="22"/>
        </w:rPr>
        <w:t>título X  del Libro II del Código Penal</w:t>
      </w:r>
    </w:p>
    <w:p w:rsidR="009301E6" w:rsidRPr="0026598F" w:rsidRDefault="009301E6" w:rsidP="009301E6">
      <w:pPr>
        <w:pStyle w:val="Sinespaciado"/>
        <w:spacing w:line="360" w:lineRule="auto"/>
        <w:ind w:left="720"/>
        <w:jc w:val="both"/>
        <w:rPr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/>
          <w:b/>
          <w:color w:val="1F4E79" w:themeColor="accent1" w:themeShade="80"/>
        </w:rPr>
        <w:t>Lectura:</w:t>
      </w:r>
    </w:p>
    <w:p w:rsidR="009301E6" w:rsidRPr="0026598F" w:rsidRDefault="009301E6" w:rsidP="009301E6">
      <w:pPr>
        <w:pStyle w:val="Default"/>
        <w:spacing w:line="360" w:lineRule="auto"/>
        <w:ind w:left="720"/>
        <w:jc w:val="both"/>
        <w:rPr>
          <w:b/>
          <w:color w:val="1F4E79" w:themeColor="accent1" w:themeShade="80"/>
          <w:sz w:val="22"/>
          <w:szCs w:val="22"/>
          <w:u w:val="single"/>
        </w:rPr>
      </w:pPr>
      <w:r w:rsidRPr="0026598F">
        <w:rPr>
          <w:rFonts w:eastAsia="Calibri" w:cs="Arial"/>
          <w:b/>
          <w:color w:val="1F4E79" w:themeColor="accent1" w:themeShade="80"/>
          <w:sz w:val="22"/>
          <w:szCs w:val="22"/>
        </w:rPr>
        <w:t xml:space="preserve">- Derecho Penal; Parte General; Enrique </w:t>
      </w:r>
      <w:proofErr w:type="spellStart"/>
      <w:r w:rsidRPr="0026598F">
        <w:rPr>
          <w:rFonts w:eastAsia="Calibri" w:cs="Arial"/>
          <w:b/>
          <w:color w:val="1F4E79" w:themeColor="accent1" w:themeShade="80"/>
          <w:sz w:val="22"/>
          <w:szCs w:val="22"/>
        </w:rPr>
        <w:t>Cury</w:t>
      </w:r>
      <w:proofErr w:type="spellEnd"/>
      <w:r w:rsidRPr="0026598F">
        <w:rPr>
          <w:rFonts w:eastAsia="Calibri" w:cs="Arial"/>
          <w:b/>
          <w:color w:val="1F4E79" w:themeColor="accent1" w:themeShade="80"/>
          <w:sz w:val="22"/>
          <w:szCs w:val="22"/>
        </w:rPr>
        <w:t xml:space="preserve"> Urzúa; Novena Edición; 2009</w:t>
      </w:r>
    </w:p>
    <w:p w:rsidR="009301E6" w:rsidRPr="0026598F" w:rsidRDefault="009301E6" w:rsidP="009301E6">
      <w:pPr>
        <w:pStyle w:val="Default"/>
        <w:spacing w:line="360" w:lineRule="auto"/>
        <w:ind w:left="720"/>
        <w:jc w:val="both"/>
        <w:rPr>
          <w:b/>
          <w:color w:val="1F4E79" w:themeColor="accent1" w:themeShade="80"/>
          <w:sz w:val="22"/>
          <w:szCs w:val="22"/>
        </w:rPr>
      </w:pPr>
      <w:r w:rsidRPr="0026598F">
        <w:rPr>
          <w:b/>
          <w:color w:val="1F4E79" w:themeColor="accent1" w:themeShade="80"/>
          <w:sz w:val="22"/>
          <w:szCs w:val="22"/>
        </w:rPr>
        <w:t>Lectura para toda la parte especial</w:t>
      </w:r>
    </w:p>
    <w:p w:rsidR="009301E6" w:rsidRPr="0026598F" w:rsidRDefault="009301E6" w:rsidP="009301E6">
      <w:pPr>
        <w:spacing w:after="0" w:line="360" w:lineRule="auto"/>
        <w:ind w:left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6598F">
        <w:rPr>
          <w:rFonts w:ascii="Calibri" w:eastAsia="Calibri" w:hAnsi="Calibri" w:cs="Arial"/>
          <w:b/>
          <w:color w:val="1F4E79" w:themeColor="accent1" w:themeShade="80"/>
        </w:rPr>
        <w:t>- Código Penal</w:t>
      </w:r>
    </w:p>
    <w:p w:rsidR="009301E6" w:rsidRPr="00EB7B65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  <w:u w:val="single"/>
        </w:rPr>
      </w:pPr>
    </w:p>
    <w:p w:rsidR="009301E6" w:rsidRPr="00671C73" w:rsidRDefault="009301E6" w:rsidP="009301E6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671C73">
        <w:rPr>
          <w:b/>
          <w:sz w:val="22"/>
          <w:szCs w:val="22"/>
        </w:rPr>
        <w:t>4.3. Leyes penales especiales:</w:t>
      </w:r>
    </w:p>
    <w:p w:rsidR="009301E6" w:rsidRPr="00EB7B65" w:rsidRDefault="009301E6" w:rsidP="009301E6">
      <w:pPr>
        <w:pStyle w:val="Default"/>
        <w:spacing w:line="360" w:lineRule="auto"/>
        <w:jc w:val="both"/>
        <w:rPr>
          <w:sz w:val="22"/>
          <w:szCs w:val="22"/>
        </w:rPr>
      </w:pPr>
    </w:p>
    <w:p w:rsidR="009301E6" w:rsidRPr="00EB7B65" w:rsidRDefault="009301E6" w:rsidP="009301E6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 xml:space="preserve">Ley N° 20.000, que sanciona el tráfico ilícito de estupefacientes y sustancias sicotrópicas; </w:t>
      </w:r>
    </w:p>
    <w:p w:rsidR="009301E6" w:rsidRPr="0026598F" w:rsidRDefault="009301E6" w:rsidP="009301E6">
      <w:pPr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tráfico ilícito de estupefacientes</w:t>
      </w:r>
    </w:p>
    <w:p w:rsidR="009301E6" w:rsidRPr="0026598F" w:rsidRDefault="009301E6" w:rsidP="009301E6">
      <w:pPr>
        <w:pStyle w:val="Sinespaciado"/>
        <w:spacing w:line="360" w:lineRule="auto"/>
        <w:ind w:left="708"/>
        <w:jc w:val="both"/>
        <w:rPr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/>
          <w:b/>
          <w:color w:val="1F4E79" w:themeColor="accent1" w:themeShade="80"/>
        </w:rPr>
        <w:t xml:space="preserve">- Matus Acuña, Jean Pierre y Ramírez Guzmán, María Cecilia; “Manuela de Derecho Penal Chileno”; Parte Especial; Editorial </w:t>
      </w:r>
      <w:proofErr w:type="spellStart"/>
      <w:r w:rsidRPr="0026598F">
        <w:rPr>
          <w:rFonts w:ascii="Calibri" w:hAnsi="Calibri"/>
          <w:b/>
          <w:color w:val="1F4E79" w:themeColor="accent1" w:themeShade="80"/>
        </w:rPr>
        <w:t>Turant</w:t>
      </w:r>
      <w:proofErr w:type="spellEnd"/>
      <w:r w:rsidRPr="0026598F">
        <w:rPr>
          <w:rFonts w:ascii="Calibri" w:hAnsi="Calibri"/>
          <w:b/>
          <w:color w:val="1F4E79" w:themeColor="accent1" w:themeShade="80"/>
        </w:rPr>
        <w:t xml:space="preserve"> lo Blanch; Valencia; 2017</w:t>
      </w:r>
    </w:p>
    <w:p w:rsidR="009301E6" w:rsidRPr="0026598F" w:rsidRDefault="009301E6" w:rsidP="009301E6">
      <w:pPr>
        <w:pStyle w:val="Sinespaciado"/>
        <w:spacing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6598F">
        <w:rPr>
          <w:rFonts w:ascii="Calibri" w:hAnsi="Calibri" w:cs="Arial"/>
          <w:b/>
          <w:bCs/>
          <w:color w:val="1F4E79" w:themeColor="accent1" w:themeShade="80"/>
        </w:rPr>
        <w:t>Exigencia jurisprudencial de peligro concreto en los delitos de la </w:t>
      </w:r>
      <w:r w:rsidRPr="0026598F">
        <w:rPr>
          <w:rStyle w:val="solext0"/>
          <w:rFonts w:ascii="Calibri" w:hAnsi="Calibri" w:cs="Arial"/>
          <w:b/>
          <w:bCs/>
          <w:color w:val="1F4E79" w:themeColor="accent1" w:themeShade="80"/>
        </w:rPr>
        <w:t>ley</w:t>
      </w:r>
      <w:r w:rsidRPr="0026598F">
        <w:rPr>
          <w:rFonts w:ascii="Calibri" w:hAnsi="Calibri" w:cs="Arial"/>
          <w:b/>
          <w:bCs/>
          <w:color w:val="1F4E79" w:themeColor="accent1" w:themeShade="80"/>
        </w:rPr>
        <w:t> </w:t>
      </w:r>
      <w:r w:rsidRPr="0026598F">
        <w:rPr>
          <w:rStyle w:val="solext1"/>
          <w:rFonts w:ascii="Calibri" w:hAnsi="Calibri" w:cs="Arial"/>
          <w:b/>
          <w:bCs/>
          <w:color w:val="1F4E79" w:themeColor="accent1" w:themeShade="80"/>
        </w:rPr>
        <w:t>20.000</w:t>
      </w:r>
      <w:r w:rsidRPr="0026598F">
        <w:rPr>
          <w:rFonts w:ascii="Calibri" w:hAnsi="Calibri" w:cs="Arial"/>
          <w:b/>
          <w:bCs/>
          <w:color w:val="1F4E79" w:themeColor="accent1" w:themeShade="80"/>
        </w:rPr>
        <w:t> y su relación con figuras típicas que sancionan actos pr</w:t>
      </w:r>
      <w:r w:rsidR="000E0984">
        <w:rPr>
          <w:rFonts w:ascii="Calibri" w:hAnsi="Calibri" w:cs="Arial"/>
          <w:b/>
          <w:bCs/>
          <w:color w:val="1F4E79" w:themeColor="accent1" w:themeShade="80"/>
        </w:rPr>
        <w:t>eparatorios del mismo cuerpo.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Style w:val="solext0"/>
          <w:rFonts w:ascii="Calibri" w:hAnsi="Calibri" w:cs="Arial"/>
          <w:b/>
          <w:color w:val="1F4E79" w:themeColor="accent1" w:themeShade="80"/>
        </w:rPr>
        <w:t>- Ley</w:t>
      </w:r>
      <w:r w:rsidRPr="0026598F">
        <w:rPr>
          <w:rFonts w:ascii="Calibri" w:hAnsi="Calibri" w:cs="Arial"/>
          <w:b/>
          <w:color w:val="1F4E79" w:themeColor="accent1" w:themeShade="80"/>
        </w:rPr>
        <w:t> 20000.    Art. 19 a, Agravante y control judicial. Informe en Derech</w:t>
      </w:r>
      <w:r w:rsidR="000E0984">
        <w:rPr>
          <w:rFonts w:ascii="Calibri" w:hAnsi="Calibri" w:cs="Arial"/>
          <w:b/>
          <w:color w:val="1F4E79" w:themeColor="accent1" w:themeShade="80"/>
        </w:rPr>
        <w:t>o de Hector Hernández.</w:t>
      </w:r>
    </w:p>
    <w:p w:rsidR="009301E6" w:rsidRPr="0026598F" w:rsidRDefault="009301E6" w:rsidP="009301E6">
      <w:pPr>
        <w:spacing w:after="0" w:line="360" w:lineRule="auto"/>
        <w:ind w:left="708"/>
        <w:jc w:val="both"/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</w:pPr>
      <w:r w:rsidRPr="0026598F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- Aplicación del artículo 4º Ley 20.000. Criterios generales para dar contenido al elemento no</w:t>
      </w:r>
      <w:r w:rsidR="000E0984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rmativo «pequeñas cantidades»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6598F">
        <w:rPr>
          <w:rFonts w:ascii="Calibri" w:hAnsi="Calibri" w:cs="Arial"/>
          <w:b/>
          <w:bCs/>
          <w:color w:val="1F4E79" w:themeColor="accent1" w:themeShade="80"/>
        </w:rPr>
        <w:t>- Ley 20.000</w:t>
      </w:r>
    </w:p>
    <w:bookmarkStart w:id="0" w:name="_GoBack"/>
    <w:p w:rsidR="009301E6" w:rsidRPr="00EB7B65" w:rsidRDefault="000E0984" w:rsidP="000E0984">
      <w:pPr>
        <w:pStyle w:val="Default"/>
        <w:spacing w:line="360" w:lineRule="auto"/>
        <w:ind w:left="709"/>
        <w:jc w:val="both"/>
        <w:rPr>
          <w:sz w:val="22"/>
          <w:szCs w:val="22"/>
        </w:rPr>
      </w:pPr>
      <w:r w:rsidRPr="000E0984">
        <w:rPr>
          <w:color w:val="1F497D"/>
          <w:sz w:val="22"/>
        </w:rPr>
        <w:fldChar w:fldCharType="begin"/>
      </w:r>
      <w:r w:rsidRPr="000E0984">
        <w:rPr>
          <w:color w:val="1F497D"/>
          <w:sz w:val="22"/>
        </w:rPr>
        <w:instrText xml:space="preserve"> HYPERLINK "https://www.dropbox.com/sh/y17h449a8cwh6dw/AAC3eGDcOQ9O83cz80tdPOK0a?dl=0" </w:instrText>
      </w:r>
      <w:r w:rsidRPr="000E0984">
        <w:rPr>
          <w:color w:val="1F497D"/>
          <w:sz w:val="22"/>
        </w:rPr>
        <w:fldChar w:fldCharType="separate"/>
      </w:r>
      <w:r w:rsidRPr="000E0984">
        <w:rPr>
          <w:rStyle w:val="Hipervnculo"/>
          <w:sz w:val="22"/>
        </w:rPr>
        <w:t>https://www.dropbox.com/sh/y17h449a8cwh6dw/AAC3eGDcOQ9O83cz80tdPOK0a?dl=0</w:t>
      </w:r>
      <w:r w:rsidRPr="000E0984">
        <w:rPr>
          <w:color w:val="1F497D"/>
          <w:sz w:val="22"/>
        </w:rPr>
        <w:fldChar w:fldCharType="end"/>
      </w:r>
      <w:bookmarkEnd w:id="0"/>
    </w:p>
    <w:p w:rsidR="009301E6" w:rsidRPr="00EB7B65" w:rsidRDefault="009301E6" w:rsidP="009301E6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Ley N° 20.066, que sanciona los actos de violencia intrafamiliar;</w:t>
      </w:r>
    </w:p>
    <w:p w:rsidR="009301E6" w:rsidRPr="0026598F" w:rsidRDefault="009301E6" w:rsidP="009301E6">
      <w:pPr>
        <w:spacing w:after="0" w:line="360" w:lineRule="auto"/>
        <w:ind w:firstLine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Lectura: la ley de violencia intrafamiliar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Arial"/>
          <w:b/>
          <w:bCs/>
          <w:color w:val="1F4E79" w:themeColor="accent1" w:themeShade="80"/>
          <w:u w:val="single"/>
        </w:rPr>
      </w:pPr>
      <w:r w:rsidRPr="0026598F">
        <w:rPr>
          <w:rFonts w:ascii="Calibri" w:eastAsia="Times New Roman" w:hAnsi="Calibri" w:cs="Arial"/>
          <w:b/>
          <w:color w:val="1F4E79" w:themeColor="accent1" w:themeShade="80"/>
          <w:lang w:eastAsia="es-CL"/>
        </w:rPr>
        <w:tab/>
      </w:r>
      <w:bookmarkStart w:id="1" w:name="OLE_LINK1"/>
      <w:r w:rsidRPr="0026598F">
        <w:rPr>
          <w:rFonts w:ascii="Calibri" w:eastAsia="Times New Roman" w:hAnsi="Calibri" w:cs="Arial"/>
          <w:b/>
          <w:color w:val="1F4E79" w:themeColor="accent1" w:themeShade="80"/>
          <w:lang w:eastAsia="es-CL"/>
        </w:rPr>
        <w:t xml:space="preserve">- </w:t>
      </w:r>
      <w:r w:rsidRPr="0026598F">
        <w:rPr>
          <w:rFonts w:ascii="Calibri" w:hAnsi="Calibri" w:cs="Arial"/>
          <w:b/>
          <w:bCs/>
          <w:color w:val="1F4E79" w:themeColor="accent1" w:themeShade="80"/>
        </w:rPr>
        <w:t>ALCANCES DEL DELITO DE DESACATO EN EL CONTEXTO DE LA LEY DE VIOLENCIA INTRAFAMILIAR</w:t>
      </w:r>
      <w:bookmarkEnd w:id="1"/>
      <w:r w:rsidR="000E0984">
        <w:rPr>
          <w:rFonts w:ascii="Calibri" w:hAnsi="Calibri" w:cs="Arial"/>
          <w:b/>
          <w:bCs/>
          <w:color w:val="1F4E79" w:themeColor="accent1" w:themeShade="80"/>
        </w:rPr>
        <w:t>.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/>
          <w:b/>
          <w:bCs/>
          <w:color w:val="1F4E79" w:themeColor="accent1" w:themeShade="80"/>
          <w:u w:val="single"/>
        </w:rPr>
      </w:pPr>
      <w:r w:rsidRPr="0026598F">
        <w:rPr>
          <w:rFonts w:ascii="Calibri" w:hAnsi="Calibri" w:cs="Arial"/>
          <w:b/>
          <w:bCs/>
          <w:color w:val="1F4E79" w:themeColor="accent1" w:themeShade="80"/>
        </w:rPr>
        <w:tab/>
      </w:r>
      <w:r w:rsidRPr="0026598F">
        <w:rPr>
          <w:rFonts w:ascii="Calibri" w:hAnsi="Calibri"/>
          <w:b/>
          <w:bCs/>
          <w:color w:val="1F4E79" w:themeColor="accent1" w:themeShade="80"/>
        </w:rPr>
        <w:t>Desacato en contexto VIF e incumplimiento de medidas cautelares y accesorias decretadas en otro delito de desacato en conte</w:t>
      </w:r>
      <w:r w:rsidR="000E0984">
        <w:rPr>
          <w:rFonts w:ascii="Calibri" w:hAnsi="Calibri"/>
          <w:b/>
          <w:bCs/>
          <w:color w:val="1F4E79" w:themeColor="accent1" w:themeShade="80"/>
        </w:rPr>
        <w:t>xto VIF.CONSULTA (15) 2012.</w:t>
      </w:r>
    </w:p>
    <w:p w:rsidR="000E0984" w:rsidRDefault="009301E6" w:rsidP="000E0984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/>
          <w:b/>
          <w:bCs/>
          <w:color w:val="1F4E79" w:themeColor="accent1" w:themeShade="80"/>
        </w:rPr>
      </w:pPr>
      <w:r w:rsidRPr="0026598F">
        <w:rPr>
          <w:rFonts w:ascii="Calibri" w:hAnsi="Calibri"/>
          <w:b/>
          <w:bCs/>
          <w:color w:val="1F4E79" w:themeColor="accent1" w:themeShade="80"/>
        </w:rPr>
        <w:tab/>
        <w:t>- MINUTA “LA NUEVA NORMATIVA CONTRA LA VIOLENCIA INTRAFAMILIAR: LEY QUE DICTA NORMAS DE PROTECCIÓN CONTRA LA VIOLENCIA INTRAFAMILIAR (LEY N° 20.066) Y LEY QUE CREA LOS TRIBUNAL</w:t>
      </w:r>
      <w:r w:rsidR="000E0984">
        <w:rPr>
          <w:rFonts w:ascii="Calibri" w:hAnsi="Calibri"/>
          <w:b/>
          <w:bCs/>
          <w:color w:val="1F4E79" w:themeColor="accent1" w:themeShade="80"/>
        </w:rPr>
        <w:t>ES DE FAMILIA (LEY n° 19.968).</w:t>
      </w:r>
    </w:p>
    <w:p w:rsidR="009301E6" w:rsidRPr="0026598F" w:rsidRDefault="009301E6" w:rsidP="000E0984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/>
          <w:b/>
          <w:bCs/>
          <w:color w:val="1F4E79" w:themeColor="accent1" w:themeShade="80"/>
        </w:rPr>
      </w:pPr>
      <w:r w:rsidRPr="0026598F">
        <w:rPr>
          <w:rFonts w:ascii="Calibri" w:hAnsi="Calibri"/>
          <w:b/>
          <w:bCs/>
          <w:color w:val="1F4E79" w:themeColor="accent1" w:themeShade="80"/>
        </w:rPr>
        <w:tab/>
        <w:t>- Minuta: “El delito de desacato de</w:t>
      </w:r>
      <w:r w:rsidR="000E0984">
        <w:rPr>
          <w:rFonts w:ascii="Calibri" w:hAnsi="Calibri"/>
          <w:b/>
          <w:bCs/>
          <w:color w:val="1F4E79" w:themeColor="accent1" w:themeShade="80"/>
        </w:rPr>
        <w:t>l artículo 240 inciso 2° CPC”.</w:t>
      </w:r>
      <w:r w:rsidRPr="0026598F">
        <w:rPr>
          <w:rFonts w:ascii="Calibri" w:hAnsi="Calibri"/>
          <w:b/>
          <w:bCs/>
          <w:color w:val="1F4E79" w:themeColor="accent1" w:themeShade="80"/>
        </w:rPr>
        <w:t xml:space="preserve"> </w:t>
      </w:r>
      <w:bookmarkStart w:id="2" w:name="_Toc188673046"/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</w:pPr>
      <w:r w:rsidRPr="0026598F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- La sistemática de los delitos de lesiones en el Código Penal</w:t>
      </w:r>
      <w:bookmarkEnd w:id="2"/>
      <w:r w:rsidRPr="0026598F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 xml:space="preserve"> </w:t>
      </w:r>
      <w:bookmarkStart w:id="3" w:name="_Toc188673047"/>
      <w:r w:rsidRPr="0026598F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y el régimen introducido por </w:t>
      </w:r>
      <w:bookmarkEnd w:id="3"/>
      <w:r w:rsidRPr="0026598F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 xml:space="preserve">la Ley N° 20.066 </w:t>
      </w:r>
      <w:bookmarkStart w:id="4" w:name="_Toc188673048"/>
      <w:r w:rsidRPr="0026598F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sobre Violencia Intrafamiliar</w:t>
      </w:r>
      <w:bookmarkEnd w:id="4"/>
      <w:r w:rsidRPr="0026598F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 xml:space="preserve"> en</w:t>
      </w:r>
    </w:p>
    <w:p w:rsidR="009301E6" w:rsidRDefault="009301E6" w:rsidP="009301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6598F">
        <w:rPr>
          <w:rFonts w:ascii="Calibri" w:hAnsi="Calibri" w:cs="Arial"/>
          <w:b/>
          <w:bCs/>
          <w:color w:val="1F4E79" w:themeColor="accent1" w:themeShade="80"/>
        </w:rPr>
        <w:t>- Ley 20.066</w:t>
      </w:r>
    </w:p>
    <w:p w:rsidR="000E0984" w:rsidRPr="0026598F" w:rsidRDefault="000E0984" w:rsidP="009301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bCs/>
          <w:color w:val="1F4E79" w:themeColor="accent1" w:themeShade="80"/>
        </w:rPr>
      </w:pPr>
      <w:hyperlink r:id="rId19" w:history="1">
        <w:r>
          <w:rPr>
            <w:rStyle w:val="Hipervnculo"/>
          </w:rPr>
          <w:t>https://www.dropbox.com/sh/y17h449a8cwh6dw/AAC3eGDcOQ9O83cz80tdPOK0a?dl=0</w:t>
        </w:r>
      </w:hyperlink>
    </w:p>
    <w:p w:rsidR="009301E6" w:rsidRPr="00671C73" w:rsidRDefault="009301E6" w:rsidP="009301E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671C73">
        <w:rPr>
          <w:rFonts w:ascii="Calibri" w:hAnsi="Calibri" w:cs="Calibri"/>
          <w:color w:val="000000"/>
        </w:rPr>
        <w:t xml:space="preserve">Ley N° 18.216, que establece un sistema de medidas alternativas a las penas privativas o restrictivas de libertad; 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 xml:space="preserve">Lectura: 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Ley N° 18.216</w:t>
      </w:r>
    </w:p>
    <w:p w:rsidR="009301E6" w:rsidRDefault="009301E6" w:rsidP="009301E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“P</w:t>
      </w:r>
      <w:r w:rsidRPr="0026598F">
        <w:rPr>
          <w:rFonts w:ascii="Calibri" w:hAnsi="Calibri" w:cs="Arial"/>
          <w:b/>
          <w:bCs/>
          <w:color w:val="1F4E79" w:themeColor="accent1" w:themeShade="80"/>
        </w:rPr>
        <w:t>enas Sustitutivas de la Ley N° 18.216. </w:t>
      </w:r>
      <w:r w:rsidRPr="0026598F">
        <w:rPr>
          <w:rStyle w:val="solext0"/>
          <w:rFonts w:ascii="Calibri" w:hAnsi="Calibri" w:cs="Arial"/>
          <w:b/>
          <w:bCs/>
          <w:color w:val="1F4E79" w:themeColor="accent1" w:themeShade="80"/>
        </w:rPr>
        <w:t>Minuta</w:t>
      </w:r>
      <w:r w:rsidRPr="0026598F">
        <w:rPr>
          <w:rFonts w:ascii="Calibri" w:hAnsi="Calibri" w:cs="Arial"/>
          <w:b/>
          <w:bCs/>
          <w:color w:val="1F4E79" w:themeColor="accent1" w:themeShade="80"/>
        </w:rPr>
        <w:t> N</w:t>
      </w:r>
      <w:r w:rsidRPr="0026598F">
        <w:rPr>
          <w:rStyle w:val="solext1"/>
          <w:rFonts w:ascii="Calibri" w:hAnsi="Calibri" w:cs="Arial"/>
          <w:b/>
          <w:bCs/>
          <w:color w:val="1F4E79" w:themeColor="accent1" w:themeShade="80"/>
        </w:rPr>
        <w:t>°2</w:t>
      </w:r>
      <w:r w:rsidRPr="0026598F">
        <w:rPr>
          <w:rFonts w:ascii="Calibri" w:hAnsi="Calibri" w:cs="Arial"/>
          <w:b/>
          <w:bCs/>
          <w:color w:val="1F4E79" w:themeColor="accent1" w:themeShade="80"/>
        </w:rPr>
        <w:t>/ </w:t>
      </w:r>
      <w:r w:rsidRPr="0026598F">
        <w:rPr>
          <w:rStyle w:val="solext2"/>
          <w:rFonts w:ascii="Calibri" w:hAnsi="Calibri" w:cs="Arial"/>
          <w:b/>
          <w:bCs/>
          <w:color w:val="1F4E79" w:themeColor="accent1" w:themeShade="80"/>
        </w:rPr>
        <w:t>2014</w:t>
      </w:r>
      <w:r w:rsidRPr="0026598F">
        <w:rPr>
          <w:rFonts w:ascii="Calibri" w:hAnsi="Calibri" w:cs="Arial"/>
          <w:b/>
          <w:bCs/>
          <w:color w:val="1F4E79" w:themeColor="accent1" w:themeShade="80"/>
        </w:rPr>
        <w:t xml:space="preserve">/ Enero Departamento de </w:t>
      </w:r>
      <w:r w:rsidR="000E0984">
        <w:rPr>
          <w:rFonts w:ascii="Calibri" w:hAnsi="Calibri" w:cs="Arial"/>
          <w:b/>
          <w:bCs/>
          <w:color w:val="1F4E79" w:themeColor="accent1" w:themeShade="80"/>
        </w:rPr>
        <w:t>Estudios. Defensoría Nacional”.</w:t>
      </w:r>
    </w:p>
    <w:p w:rsidR="000E0984" w:rsidRPr="0026598F" w:rsidRDefault="000E0984" w:rsidP="009301E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hyperlink r:id="rId20" w:history="1">
        <w:r>
          <w:rPr>
            <w:rStyle w:val="Hipervnculo"/>
          </w:rPr>
          <w:t>https://www.dropbox.com/sh/y17h449a8cwh6dw/AAC3eGDcOQ9O83cz80tdPOK0a?dl=0</w:t>
        </w:r>
      </w:hyperlink>
    </w:p>
    <w:p w:rsidR="009301E6" w:rsidRPr="00EB7B65" w:rsidRDefault="009301E6" w:rsidP="009301E6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 xml:space="preserve">Ley N°18.314, que sanciona las conductas terroristas; </w:t>
      </w:r>
    </w:p>
    <w:p w:rsidR="009301E6" w:rsidRPr="0026598F" w:rsidRDefault="009301E6" w:rsidP="009301E6">
      <w:pPr>
        <w:spacing w:after="0" w:line="360" w:lineRule="auto"/>
        <w:ind w:left="705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 xml:space="preserve">Lectura: </w:t>
      </w:r>
    </w:p>
    <w:p w:rsidR="009301E6" w:rsidRPr="0026598F" w:rsidRDefault="009301E6" w:rsidP="009301E6">
      <w:pPr>
        <w:spacing w:after="0" w:line="360" w:lineRule="auto"/>
        <w:ind w:left="705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- ley N° 18.314</w:t>
      </w:r>
    </w:p>
    <w:p w:rsidR="009301E6" w:rsidRPr="00EB7B65" w:rsidRDefault="009301E6" w:rsidP="009301E6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EB7B65">
        <w:rPr>
          <w:sz w:val="22"/>
          <w:szCs w:val="22"/>
        </w:rPr>
        <w:t xml:space="preserve">ey N° 18.290, de tránsito </w:t>
      </w:r>
    </w:p>
    <w:p w:rsidR="009301E6" w:rsidRPr="0026598F" w:rsidRDefault="009301E6" w:rsidP="009301E6">
      <w:pPr>
        <w:spacing w:after="0" w:line="360" w:lineRule="auto"/>
        <w:ind w:left="705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 xml:space="preserve">Lectura: 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6598F">
        <w:rPr>
          <w:rFonts w:ascii="Calibri" w:hAnsi="Calibri" w:cs="Arial"/>
          <w:b/>
          <w:bCs/>
          <w:color w:val="1F4E79" w:themeColor="accent1" w:themeShade="80"/>
        </w:rPr>
        <w:t>- Ley 18.290</w:t>
      </w:r>
    </w:p>
    <w:p w:rsidR="009301E6" w:rsidRDefault="009301E6" w:rsidP="009301E6">
      <w:pPr>
        <w:autoSpaceDE w:val="0"/>
        <w:autoSpaceDN w:val="0"/>
        <w:adjustRightInd w:val="0"/>
        <w:spacing w:after="0" w:line="360" w:lineRule="auto"/>
        <w:ind w:left="708" w:hanging="3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6598F">
        <w:rPr>
          <w:rFonts w:ascii="Calibri" w:hAnsi="Calibri" w:cs="Arial"/>
          <w:b/>
          <w:bCs/>
          <w:color w:val="1F4E79" w:themeColor="accent1" w:themeShade="80"/>
        </w:rPr>
        <w:t>- Análisis de las modificaciones introducidas por la ley N° 20.770 (“Ley Emilia”) a la Ley del </w:t>
      </w:r>
      <w:r w:rsidRPr="0026598F">
        <w:rPr>
          <w:rStyle w:val="solext0"/>
          <w:rFonts w:ascii="Calibri" w:hAnsi="Calibri" w:cs="Arial"/>
          <w:b/>
          <w:bCs/>
          <w:color w:val="1F4E79" w:themeColor="accent1" w:themeShade="80"/>
        </w:rPr>
        <w:t>Tránsito</w:t>
      </w:r>
      <w:r w:rsidRPr="0026598F">
        <w:rPr>
          <w:rFonts w:ascii="Calibri" w:hAnsi="Calibri" w:cs="Arial"/>
          <w:b/>
          <w:bCs/>
          <w:color w:val="1F4E79" w:themeColor="accent1" w:themeShade="80"/>
        </w:rPr>
        <w:t xml:space="preserve"> y al Decreto Ley N° 321 Minuta N° 15 / 2014 / Diciembre. Departamento de </w:t>
      </w:r>
      <w:r w:rsidR="000E0984">
        <w:rPr>
          <w:rFonts w:ascii="Calibri" w:hAnsi="Calibri" w:cs="Arial"/>
          <w:b/>
          <w:bCs/>
          <w:color w:val="1F4E79" w:themeColor="accent1" w:themeShade="80"/>
        </w:rPr>
        <w:t>Estudios. Defensoría Nacional.</w:t>
      </w:r>
    </w:p>
    <w:p w:rsidR="000E0984" w:rsidRPr="0026598F" w:rsidRDefault="000E0984" w:rsidP="009301E6">
      <w:pPr>
        <w:autoSpaceDE w:val="0"/>
        <w:autoSpaceDN w:val="0"/>
        <w:adjustRightInd w:val="0"/>
        <w:spacing w:after="0" w:line="360" w:lineRule="auto"/>
        <w:ind w:left="708" w:hanging="3"/>
        <w:jc w:val="both"/>
        <w:rPr>
          <w:rFonts w:ascii="Calibri" w:hAnsi="Calibri" w:cs="Arial"/>
          <w:b/>
          <w:bCs/>
          <w:color w:val="1F4E79" w:themeColor="accent1" w:themeShade="80"/>
        </w:rPr>
      </w:pPr>
      <w:hyperlink r:id="rId21" w:history="1">
        <w:r>
          <w:rPr>
            <w:rStyle w:val="Hipervnculo"/>
          </w:rPr>
          <w:t>https://www.dropbox.com/sh/y17h449a8cwh6dw/AAC3eGDcOQ9O83cz80tdPOK0a?dl=0</w:t>
        </w:r>
      </w:hyperlink>
    </w:p>
    <w:p w:rsidR="009301E6" w:rsidRPr="0026598F" w:rsidRDefault="009301E6" w:rsidP="000E0984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bCs/>
          <w:color w:val="1F4E79" w:themeColor="accent1" w:themeShade="80"/>
        </w:rPr>
        <w:t xml:space="preserve">- Consulta relativa a interpretación del tipo penal del artículo 195 de la Ley de Tránsito </w:t>
      </w:r>
      <w:r w:rsidRPr="0026598F">
        <w:rPr>
          <w:rFonts w:ascii="Calibri" w:hAnsi="Calibri" w:cs="Arial"/>
          <w:b/>
          <w:color w:val="1F4E79" w:themeColor="accent1" w:themeShade="80"/>
        </w:rPr>
        <w:t> </w:t>
      </w:r>
      <w:r w:rsidRPr="0026598F">
        <w:rPr>
          <w:rFonts w:ascii="Calibri" w:hAnsi="Calibri" w:cs="Arial"/>
          <w:b/>
          <w:bCs/>
          <w:color w:val="1F4E79" w:themeColor="accent1" w:themeShade="80"/>
        </w:rPr>
        <w:t>C03-2016 en</w:t>
      </w:r>
      <w:r w:rsidRPr="0026598F">
        <w:rPr>
          <w:b/>
          <w:color w:val="1F4E79" w:themeColor="accent1" w:themeShade="80"/>
        </w:rPr>
        <w:t xml:space="preserve"> </w:t>
      </w:r>
      <w:hyperlink r:id="rId22" w:history="1">
        <w:r w:rsidRPr="0026598F">
          <w:rPr>
            <w:rStyle w:val="Hipervnculo"/>
            <w:rFonts w:ascii="Calibri" w:hAnsi="Calibri" w:cs="Arial"/>
            <w:b/>
            <w:bCs/>
            <w:color w:val="1F4E79" w:themeColor="accent1" w:themeShade="80"/>
          </w:rPr>
          <w:t>https://decisia.lexum.com/dppc/cj/es/item/181691/index.do</w:t>
        </w:r>
      </w:hyperlink>
      <w:r w:rsidRPr="0026598F">
        <w:rPr>
          <w:rFonts w:ascii="Calibri" w:hAnsi="Calibri" w:cs="Arial"/>
          <w:b/>
          <w:bCs/>
          <w:color w:val="1F4E79" w:themeColor="accent1" w:themeShade="80"/>
          <w:u w:val="single"/>
        </w:rPr>
        <w:t xml:space="preserve"> </w:t>
      </w:r>
    </w:p>
    <w:p w:rsidR="009301E6" w:rsidRPr="00EB7B65" w:rsidRDefault="009301E6" w:rsidP="009301E6">
      <w:pPr>
        <w:pStyle w:val="Default"/>
        <w:spacing w:line="360" w:lineRule="auto"/>
        <w:ind w:left="360"/>
        <w:jc w:val="both"/>
        <w:rPr>
          <w:color w:val="0070C0"/>
          <w:sz w:val="22"/>
          <w:szCs w:val="22"/>
        </w:rPr>
      </w:pPr>
    </w:p>
    <w:p w:rsidR="009301E6" w:rsidRPr="00EB7B65" w:rsidRDefault="009301E6" w:rsidP="009301E6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 xml:space="preserve">Ley N° 17.798, de control de armas; </w:t>
      </w:r>
    </w:p>
    <w:p w:rsidR="009301E6" w:rsidRPr="0026598F" w:rsidRDefault="009301E6" w:rsidP="009301E6">
      <w:pPr>
        <w:spacing w:after="0" w:line="360" w:lineRule="auto"/>
        <w:ind w:firstLine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 delitos de la ley de control de armas:</w:t>
      </w:r>
    </w:p>
    <w:p w:rsidR="009301E6" w:rsidRDefault="009301E6" w:rsidP="009301E6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6598F">
        <w:rPr>
          <w:rFonts w:ascii="Calibri" w:eastAsia="Times New Roman" w:hAnsi="Calibri" w:cs="Arial"/>
          <w:b/>
          <w:color w:val="1F4E79" w:themeColor="accent1" w:themeShade="80"/>
          <w:lang w:eastAsia="es-CL"/>
        </w:rPr>
        <w:tab/>
        <w:t xml:space="preserve">- </w:t>
      </w:r>
      <w:r w:rsidRPr="0026598F">
        <w:rPr>
          <w:rFonts w:ascii="Calibri" w:hAnsi="Calibri" w:cs="Arial"/>
          <w:b/>
          <w:bCs/>
          <w:color w:val="1F4E79" w:themeColor="accent1" w:themeShade="80"/>
        </w:rPr>
        <w:t>Minuta sobre las modificaciones introducidas a la Ley de Control de Armas (L</w:t>
      </w:r>
      <w:r w:rsidR="000E0984">
        <w:rPr>
          <w:rFonts w:ascii="Calibri" w:hAnsi="Calibri" w:cs="Arial"/>
          <w:b/>
          <w:bCs/>
          <w:color w:val="1F4E79" w:themeColor="accent1" w:themeShade="80"/>
        </w:rPr>
        <w:t>ey 17.798) por la Ley 20.813.</w:t>
      </w:r>
    </w:p>
    <w:p w:rsidR="000E0984" w:rsidRPr="0026598F" w:rsidRDefault="000E0984" w:rsidP="000E0984">
      <w:pPr>
        <w:autoSpaceDE w:val="0"/>
        <w:autoSpaceDN w:val="0"/>
        <w:adjustRightInd w:val="0"/>
        <w:spacing w:after="0" w:line="360" w:lineRule="auto"/>
        <w:ind w:left="708" w:firstLine="1"/>
        <w:jc w:val="both"/>
        <w:rPr>
          <w:rFonts w:ascii="Calibri" w:hAnsi="Calibri" w:cs="Arial"/>
          <w:b/>
          <w:bCs/>
          <w:color w:val="1F4E79" w:themeColor="accent1" w:themeShade="80"/>
          <w:u w:val="single"/>
        </w:rPr>
      </w:pPr>
      <w:hyperlink r:id="rId23" w:history="1">
        <w:r>
          <w:rPr>
            <w:rStyle w:val="Hipervnculo"/>
          </w:rPr>
          <w:t>https://www.dropbox.com/sh/y17h449a8cwh6dw/AAC3eGDcOQ9O83cz80tdPOK0a?dl=0</w:t>
        </w:r>
      </w:hyperlink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6598F">
        <w:rPr>
          <w:rFonts w:ascii="Calibri" w:hAnsi="Calibri" w:cs="Arial"/>
          <w:b/>
          <w:bCs/>
          <w:color w:val="1F4E79" w:themeColor="accent1" w:themeShade="80"/>
        </w:rPr>
        <w:t xml:space="preserve">Fallos del Tribunal Constitucional N° 3109; 3120; 3134 y 3135, consultables en </w:t>
      </w:r>
      <w:hyperlink r:id="rId24" w:history="1">
        <w:r w:rsidRPr="0026598F">
          <w:rPr>
            <w:rStyle w:val="Hipervnculo"/>
            <w:rFonts w:ascii="Calibri" w:hAnsi="Calibri" w:cs="Arial"/>
            <w:b/>
            <w:bCs/>
            <w:color w:val="1F4E79" w:themeColor="accent1" w:themeShade="80"/>
          </w:rPr>
          <w:t>http://www,tribunalconstitucional.cl/</w:t>
        </w:r>
      </w:hyperlink>
    </w:p>
    <w:p w:rsidR="009301E6" w:rsidRDefault="009301E6" w:rsidP="009301E6">
      <w:pPr>
        <w:pStyle w:val="Prrafodelista"/>
        <w:spacing w:after="0" w:line="360" w:lineRule="auto"/>
        <w:jc w:val="both"/>
        <w:rPr>
          <w:rFonts w:ascii="Calibri" w:hAnsi="Calibri"/>
          <w:b/>
          <w:color w:val="0070C0"/>
        </w:rPr>
      </w:pPr>
    </w:p>
    <w:p w:rsidR="009301E6" w:rsidRPr="007118FD" w:rsidRDefault="009301E6" w:rsidP="009301E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Style w:val="Hipervnculo"/>
          <w:rFonts w:ascii="Calibri" w:hAnsi="Calibri"/>
          <w:color w:val="000000" w:themeColor="text1"/>
          <w:u w:val="none"/>
        </w:rPr>
      </w:pPr>
      <w:r w:rsidRPr="007118FD">
        <w:rPr>
          <w:rStyle w:val="Hipervnculo"/>
          <w:rFonts w:ascii="Calibri" w:hAnsi="Calibri"/>
          <w:color w:val="000000" w:themeColor="text1"/>
          <w:u w:val="none"/>
        </w:rPr>
        <w:t>Ley N° 19.327, que fija normas para prevención y sanción de hechos de violencia en recintos deportivos con ocasión de espectáculos de futbol profesional</w:t>
      </w:r>
    </w:p>
    <w:p w:rsidR="009301E6" w:rsidRPr="0026598F" w:rsidRDefault="009301E6" w:rsidP="009301E6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/>
          <w:b/>
          <w:color w:val="1F4E79" w:themeColor="accent1" w:themeShade="80"/>
        </w:rPr>
        <w:t>Lectura:</w:t>
      </w:r>
    </w:p>
    <w:p w:rsidR="009301E6" w:rsidRPr="0026598F" w:rsidRDefault="009301E6" w:rsidP="009301E6">
      <w:pPr>
        <w:pStyle w:val="Prrafodelista"/>
        <w:spacing w:after="0" w:line="360" w:lineRule="auto"/>
        <w:jc w:val="both"/>
        <w:rPr>
          <w:rStyle w:val="Hipervnculo"/>
          <w:rFonts w:ascii="Calibri" w:hAnsi="Calibri"/>
          <w:b/>
          <w:color w:val="1F4E79" w:themeColor="accent1" w:themeShade="80"/>
          <w:u w:val="none"/>
        </w:rPr>
      </w:pPr>
      <w:r w:rsidRPr="0026598F">
        <w:rPr>
          <w:rStyle w:val="Hipervnculo"/>
          <w:rFonts w:ascii="Calibri" w:hAnsi="Calibri"/>
          <w:b/>
          <w:color w:val="1F4E79" w:themeColor="accent1" w:themeShade="80"/>
          <w:u w:val="none"/>
        </w:rPr>
        <w:t>-</w:t>
      </w:r>
      <w:r w:rsidRPr="0026598F">
        <w:rPr>
          <w:rFonts w:ascii="Calibri" w:eastAsia="Times New Roman" w:hAnsi="Calibri" w:cs="Arial"/>
          <w:b/>
          <w:color w:val="1F4E79" w:themeColor="accent1" w:themeShade="80"/>
          <w:lang w:eastAsia="es-CL"/>
        </w:rPr>
        <w:t xml:space="preserve"> </w:t>
      </w:r>
      <w:r w:rsidRPr="0026598F">
        <w:rPr>
          <w:rStyle w:val="Hipervnculo"/>
          <w:rFonts w:ascii="Calibri" w:hAnsi="Calibri"/>
          <w:b/>
          <w:color w:val="1F4E79" w:themeColor="accent1" w:themeShade="80"/>
          <w:u w:val="none"/>
        </w:rPr>
        <w:t>Ley 19.327</w:t>
      </w:r>
    </w:p>
    <w:p w:rsidR="009301E6" w:rsidRDefault="009301E6" w:rsidP="009301E6">
      <w:pPr>
        <w:pStyle w:val="Prrafodelista"/>
        <w:spacing w:after="0" w:line="360" w:lineRule="auto"/>
        <w:jc w:val="both"/>
        <w:rPr>
          <w:rStyle w:val="Hipervnculo"/>
          <w:rFonts w:ascii="Calibri" w:hAnsi="Calibri"/>
          <w:b/>
          <w:color w:val="0070C0"/>
        </w:rPr>
      </w:pPr>
    </w:p>
    <w:p w:rsidR="009301E6" w:rsidRDefault="009301E6" w:rsidP="009301E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Style w:val="Hipervnculo"/>
          <w:rFonts w:ascii="Calibri" w:hAnsi="Calibri"/>
          <w:color w:val="000000" w:themeColor="text1"/>
          <w:u w:val="none"/>
        </w:rPr>
      </w:pPr>
      <w:r>
        <w:rPr>
          <w:rStyle w:val="Hipervnculo"/>
          <w:rFonts w:ascii="Calibri" w:hAnsi="Calibri"/>
          <w:color w:val="000000" w:themeColor="text1"/>
          <w:u w:val="none"/>
        </w:rPr>
        <w:t>S</w:t>
      </w:r>
      <w:r w:rsidRPr="00C95397">
        <w:rPr>
          <w:rStyle w:val="Hipervnculo"/>
          <w:rFonts w:ascii="Calibri" w:hAnsi="Calibri"/>
          <w:color w:val="000000" w:themeColor="text1"/>
          <w:u w:val="none"/>
        </w:rPr>
        <w:t>istema nacional de registros de ADN</w:t>
      </w:r>
      <w:r>
        <w:rPr>
          <w:rStyle w:val="Hipervnculo"/>
          <w:rFonts w:ascii="Calibri" w:hAnsi="Calibri"/>
          <w:color w:val="000000" w:themeColor="text1"/>
          <w:u w:val="none"/>
        </w:rPr>
        <w:t>:</w:t>
      </w:r>
    </w:p>
    <w:p w:rsidR="009301E6" w:rsidRPr="0026598F" w:rsidRDefault="009301E6" w:rsidP="009301E6">
      <w:pPr>
        <w:pStyle w:val="Prrafodelista"/>
        <w:spacing w:after="0" w:line="360" w:lineRule="auto"/>
        <w:ind w:left="0"/>
        <w:jc w:val="both"/>
        <w:rPr>
          <w:rFonts w:ascii="Calibri" w:hAnsi="Calibri"/>
          <w:b/>
          <w:color w:val="1F4E79" w:themeColor="accent1" w:themeShade="80"/>
        </w:rPr>
      </w:pPr>
      <w:r>
        <w:rPr>
          <w:rStyle w:val="Hipervnculo"/>
          <w:rFonts w:ascii="Calibri" w:hAnsi="Calibri"/>
          <w:color w:val="000000" w:themeColor="text1"/>
          <w:u w:val="none"/>
        </w:rPr>
        <w:tab/>
      </w:r>
      <w:r w:rsidRPr="0026598F">
        <w:rPr>
          <w:rFonts w:ascii="Calibri" w:hAnsi="Calibri"/>
          <w:b/>
          <w:color w:val="1F4E79" w:themeColor="accent1" w:themeShade="80"/>
        </w:rPr>
        <w:t>Lectura:</w:t>
      </w:r>
    </w:p>
    <w:p w:rsidR="009301E6" w:rsidRPr="0026598F" w:rsidRDefault="009301E6" w:rsidP="009301E6">
      <w:pPr>
        <w:spacing w:after="0" w:line="360" w:lineRule="auto"/>
        <w:ind w:left="720"/>
        <w:jc w:val="both"/>
        <w:rPr>
          <w:rStyle w:val="Hipervnculo"/>
          <w:rFonts w:ascii="Calibri" w:hAnsi="Calibri"/>
          <w:b/>
          <w:color w:val="1F4E79" w:themeColor="accent1" w:themeShade="80"/>
          <w:u w:val="none"/>
        </w:rPr>
      </w:pPr>
      <w:r w:rsidRPr="0026598F">
        <w:rPr>
          <w:rStyle w:val="Hipervnculo"/>
          <w:rFonts w:ascii="Calibri" w:hAnsi="Calibri"/>
          <w:b/>
          <w:color w:val="1F4E79" w:themeColor="accent1" w:themeShade="80"/>
          <w:u w:val="none"/>
        </w:rPr>
        <w:t>- Ley 19.970 que crea el sistema nacional de registros de ADN</w:t>
      </w:r>
    </w:p>
    <w:p w:rsidR="009301E6" w:rsidRDefault="009301E6" w:rsidP="009301E6">
      <w:pPr>
        <w:pStyle w:val="Default"/>
        <w:jc w:val="both"/>
        <w:rPr>
          <w:b/>
          <w:sz w:val="22"/>
          <w:szCs w:val="22"/>
        </w:rPr>
      </w:pPr>
    </w:p>
    <w:p w:rsidR="009301E6" w:rsidRDefault="009301E6" w:rsidP="009301E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Derecho Procesal Penal</w:t>
      </w:r>
    </w:p>
    <w:p w:rsidR="009301E6" w:rsidRPr="00EB7B65" w:rsidRDefault="009301E6" w:rsidP="009301E6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Libro I del Código Procesal Penal completo (principios</w:t>
      </w:r>
      <w:r>
        <w:rPr>
          <w:sz w:val="22"/>
          <w:szCs w:val="22"/>
        </w:rPr>
        <w:t xml:space="preserve"> básicos</w:t>
      </w:r>
      <w:r w:rsidRPr="00EB7B6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actividad procesal, </w:t>
      </w:r>
      <w:r w:rsidRPr="00EB7B65">
        <w:rPr>
          <w:sz w:val="22"/>
          <w:szCs w:val="22"/>
        </w:rPr>
        <w:t>acción penal, sujetos procesales, medidas cautelares personales</w:t>
      </w:r>
      <w:r>
        <w:rPr>
          <w:sz w:val="22"/>
          <w:szCs w:val="22"/>
        </w:rPr>
        <w:t>, medidas cautelares reales, nulidades procesales); control de identidad del artículo 12 de la ley N° 12 Ley 20.931.</w:t>
      </w:r>
    </w:p>
    <w:p w:rsidR="009301E6" w:rsidRDefault="009301E6" w:rsidP="009301E6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Libro II del Código Procesal Penal completo (procedimiento ordinario)</w:t>
      </w:r>
    </w:p>
    <w:p w:rsidR="009301E6" w:rsidRPr="00EB7B65" w:rsidRDefault="009301E6" w:rsidP="009301E6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Libro III del Código Procesal Penal completo (recursos).</w:t>
      </w:r>
    </w:p>
    <w:p w:rsidR="009301E6" w:rsidRPr="00EB7B65" w:rsidRDefault="009301E6" w:rsidP="009301E6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9301E6" w:rsidRPr="00EB7B65" w:rsidRDefault="009301E6" w:rsidP="009301E6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Libro IV del Código Procesal Penal</w:t>
      </w:r>
      <w:r>
        <w:rPr>
          <w:sz w:val="22"/>
          <w:szCs w:val="22"/>
        </w:rPr>
        <w:t xml:space="preserve"> (</w:t>
      </w:r>
      <w:r w:rsidRPr="00EB7B65">
        <w:rPr>
          <w:sz w:val="22"/>
          <w:szCs w:val="22"/>
        </w:rPr>
        <w:t xml:space="preserve">procedimiento simplificado, </w:t>
      </w:r>
      <w:r>
        <w:rPr>
          <w:sz w:val="22"/>
          <w:szCs w:val="22"/>
        </w:rPr>
        <w:t xml:space="preserve">procedimiento por delito </w:t>
      </w:r>
      <w:r w:rsidRPr="00EB7B65">
        <w:rPr>
          <w:sz w:val="22"/>
          <w:szCs w:val="22"/>
        </w:rPr>
        <w:t xml:space="preserve">de acción privada, </w:t>
      </w:r>
      <w:r>
        <w:rPr>
          <w:sz w:val="22"/>
          <w:szCs w:val="22"/>
        </w:rPr>
        <w:t xml:space="preserve">procedimiento </w:t>
      </w:r>
      <w:r w:rsidRPr="00EB7B65">
        <w:rPr>
          <w:sz w:val="22"/>
          <w:szCs w:val="22"/>
        </w:rPr>
        <w:t xml:space="preserve">abreviado, </w:t>
      </w:r>
      <w:r>
        <w:rPr>
          <w:sz w:val="22"/>
          <w:szCs w:val="22"/>
        </w:rPr>
        <w:t xml:space="preserve">extradición, procedimiento para la aplicación exclusiva de medidas de seguridad, </w:t>
      </w:r>
      <w:r w:rsidRPr="00EB7B65">
        <w:rPr>
          <w:sz w:val="22"/>
          <w:szCs w:val="22"/>
        </w:rPr>
        <w:t>ejecución de sentencias condenatorias</w:t>
      </w:r>
      <w:r>
        <w:rPr>
          <w:sz w:val="22"/>
          <w:szCs w:val="22"/>
        </w:rPr>
        <w:t xml:space="preserve"> y medidas de seguridad).</w:t>
      </w:r>
      <w:r w:rsidRPr="00EB7B65">
        <w:rPr>
          <w:sz w:val="22"/>
          <w:szCs w:val="22"/>
        </w:rPr>
        <w:t xml:space="preserve"> 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Lecturas para todo Derecho Procesal Penal:</w:t>
      </w:r>
    </w:p>
    <w:p w:rsidR="009301E6" w:rsidRPr="0026598F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color w:val="1F4E79" w:themeColor="accent1" w:themeShade="80"/>
          <w:lang w:eastAsia="es-CL"/>
        </w:rPr>
      </w:pPr>
      <w:r w:rsidRPr="0026598F">
        <w:rPr>
          <w:rFonts w:ascii="Calibri" w:eastAsia="Calibri" w:hAnsi="Calibri" w:cs="Arial"/>
          <w:b/>
          <w:color w:val="1F4E79" w:themeColor="accent1" w:themeShade="80"/>
        </w:rPr>
        <w:t xml:space="preserve">- “Derecho Procesal Penal Chileno; Principios, sujetos procesales, medidas cautelares, etapas de investigación” Tomo I; </w:t>
      </w:r>
      <w:proofErr w:type="spellStart"/>
      <w:r w:rsidRPr="0026598F">
        <w:rPr>
          <w:rFonts w:ascii="Calibri" w:eastAsia="Calibri" w:hAnsi="Calibri" w:cs="Arial"/>
          <w:b/>
          <w:color w:val="1F4E79" w:themeColor="accent1" w:themeShade="80"/>
        </w:rPr>
        <w:t>Horvitz</w:t>
      </w:r>
      <w:proofErr w:type="spellEnd"/>
      <w:r w:rsidRPr="0026598F">
        <w:rPr>
          <w:rFonts w:ascii="Calibri" w:eastAsia="Calibri" w:hAnsi="Calibri" w:cs="Arial"/>
          <w:b/>
          <w:color w:val="1F4E79" w:themeColor="accent1" w:themeShade="80"/>
        </w:rPr>
        <w:t xml:space="preserve"> Lennon, María Inés y López </w:t>
      </w:r>
      <w:proofErr w:type="spellStart"/>
      <w:r w:rsidRPr="0026598F">
        <w:rPr>
          <w:rFonts w:ascii="Calibri" w:eastAsia="Calibri" w:hAnsi="Calibri" w:cs="Arial"/>
          <w:b/>
          <w:color w:val="1F4E79" w:themeColor="accent1" w:themeShade="80"/>
        </w:rPr>
        <w:t>Masle</w:t>
      </w:r>
      <w:proofErr w:type="spellEnd"/>
      <w:r w:rsidRPr="0026598F">
        <w:rPr>
          <w:rFonts w:ascii="Calibri" w:eastAsia="Calibri" w:hAnsi="Calibri" w:cs="Arial"/>
          <w:b/>
          <w:color w:val="1F4E79" w:themeColor="accent1" w:themeShade="80"/>
        </w:rPr>
        <w:t>, Julián; Editorial Jurídica de Chile; Primera Edición; 2002</w:t>
      </w:r>
    </w:p>
    <w:p w:rsidR="009301E6" w:rsidRPr="0026598F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- “Minuta sobre las modificaciones introducidas por la Ley 20.931, denominada “Ley de Agenda Corta”; Departamento de Estudio</w:t>
      </w:r>
      <w:r w:rsidR="000E0984">
        <w:rPr>
          <w:rFonts w:ascii="Calibri" w:hAnsi="Calibri" w:cs="Arial"/>
          <w:b/>
          <w:color w:val="1F4E79" w:themeColor="accent1" w:themeShade="80"/>
        </w:rPr>
        <w:t>s; Defensoría Penal Pública.</w:t>
      </w:r>
    </w:p>
    <w:p w:rsidR="009301E6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/>
          <w:b/>
          <w:color w:val="1F4E79" w:themeColor="accent1" w:themeShade="80"/>
        </w:rPr>
        <w:t>- Minuta sobre “Recurso de nulidad y derechos fundamentales a la luz de la jurisprudencia de l</w:t>
      </w:r>
      <w:r w:rsidR="000E0984">
        <w:rPr>
          <w:rFonts w:ascii="Calibri" w:hAnsi="Calibri"/>
          <w:b/>
          <w:color w:val="1F4E79" w:themeColor="accent1" w:themeShade="80"/>
        </w:rPr>
        <w:t>a Corte Suprema”.</w:t>
      </w:r>
    </w:p>
    <w:p w:rsidR="000E0984" w:rsidRPr="0026598F" w:rsidRDefault="000E0984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hyperlink r:id="rId25" w:history="1">
        <w:r>
          <w:rPr>
            <w:rStyle w:val="Hipervnculo"/>
          </w:rPr>
          <w:t>https://www.dropbox.com/sh/y17h449a8cwh6dw/AAC3eGDcOQ9O83cz80tdPOK0a?dl=0</w:t>
        </w:r>
      </w:hyperlink>
    </w:p>
    <w:p w:rsidR="009301E6" w:rsidRPr="0026598F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- Código Procesal Penal</w:t>
      </w:r>
    </w:p>
    <w:p w:rsidR="009301E6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Arial"/>
        </w:rPr>
      </w:pPr>
    </w:p>
    <w:p w:rsidR="009301E6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6. Derecho Constitucional Garantías</w:t>
      </w:r>
    </w:p>
    <w:p w:rsidR="009301E6" w:rsidRPr="0026598F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rFonts w:ascii="Calibri" w:hAnsi="Calibri" w:cs="Arial"/>
          <w:b/>
          <w:color w:val="1F4E79" w:themeColor="accent1" w:themeShade="80"/>
        </w:rPr>
        <w:t>Lecturas:</w:t>
      </w:r>
    </w:p>
    <w:p w:rsidR="009301E6" w:rsidRPr="0026598F" w:rsidRDefault="009301E6" w:rsidP="009301E6">
      <w:pPr>
        <w:pStyle w:val="Prrafodelista"/>
        <w:spacing w:after="0" w:line="360" w:lineRule="auto"/>
        <w:jc w:val="both"/>
        <w:rPr>
          <w:rStyle w:val="Hipervnculo"/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/>
          <w:b/>
          <w:color w:val="1F4E79" w:themeColor="accent1" w:themeShade="80"/>
        </w:rPr>
        <w:t>- Minuta sobre “Recurso de nulidad y derechos fundamentales a la luz de la jurisprudencia de l</w:t>
      </w:r>
      <w:r w:rsidR="000E0984">
        <w:rPr>
          <w:rFonts w:ascii="Calibri" w:hAnsi="Calibri"/>
          <w:b/>
          <w:color w:val="1F4E79" w:themeColor="accent1" w:themeShade="80"/>
        </w:rPr>
        <w:t>a Corte Suprema”.</w:t>
      </w:r>
    </w:p>
    <w:p w:rsidR="009301E6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26598F">
        <w:rPr>
          <w:rFonts w:ascii="Calibri" w:hAnsi="Calibri"/>
          <w:b/>
          <w:color w:val="1F4E79" w:themeColor="accent1" w:themeShade="80"/>
        </w:rPr>
        <w:t>- Minuta de apoyo para audiencias: “Sistemati</w:t>
      </w:r>
      <w:r w:rsidR="000E0984">
        <w:rPr>
          <w:rFonts w:ascii="Calibri" w:hAnsi="Calibri"/>
          <w:b/>
          <w:color w:val="1F4E79" w:themeColor="accent1" w:themeShade="80"/>
        </w:rPr>
        <w:t>zación de fallos relevantes”.</w:t>
      </w:r>
    </w:p>
    <w:p w:rsidR="000E0984" w:rsidRPr="0026598F" w:rsidRDefault="000E0984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Calibri" w:hAnsi="Calibri"/>
          <w:b/>
          <w:color w:val="1F4E79" w:themeColor="accent1" w:themeShade="80"/>
        </w:rPr>
      </w:pPr>
      <w:hyperlink r:id="rId26" w:history="1">
        <w:r>
          <w:rPr>
            <w:rStyle w:val="Hipervnculo"/>
          </w:rPr>
          <w:t>https://www.dropbox.com/sh/y17h449a8cwh6dw/AAC3eGDcOQ9O83cz80tdPOK0a?dl=0</w:t>
        </w:r>
      </w:hyperlink>
    </w:p>
    <w:p w:rsidR="009301E6" w:rsidRPr="0026598F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Calibri" w:hAnsi="Calibri"/>
          <w:b/>
          <w:color w:val="1F4E79" w:themeColor="accent1" w:themeShade="80"/>
        </w:rPr>
      </w:pPr>
    </w:p>
    <w:p w:rsidR="009301E6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Style w:val="Hipervnculo"/>
          <w:rFonts w:ascii="Calibri" w:hAnsi="Calibri"/>
          <w:b/>
          <w:color w:val="auto"/>
          <w:u w:val="none"/>
        </w:rPr>
      </w:pPr>
      <w:r w:rsidRPr="00C600AB">
        <w:rPr>
          <w:rStyle w:val="Hipervnculo"/>
          <w:rFonts w:ascii="Calibri" w:hAnsi="Calibri"/>
          <w:b/>
          <w:color w:val="auto"/>
          <w:u w:val="none"/>
        </w:rPr>
        <w:t>7. Litigación en Procedimientos Orales</w:t>
      </w:r>
    </w:p>
    <w:p w:rsidR="009301E6" w:rsidRPr="0026598F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Calibri" w:hAnsi="Calibri"/>
          <w:b/>
          <w:color w:val="1F4E79" w:themeColor="accent1" w:themeShade="80"/>
          <w:u w:val="none"/>
        </w:rPr>
      </w:pPr>
      <w:r w:rsidRPr="0026598F">
        <w:rPr>
          <w:rStyle w:val="Hipervnculo"/>
          <w:rFonts w:ascii="Calibri" w:hAnsi="Calibri"/>
          <w:b/>
          <w:color w:val="1F4E79" w:themeColor="accent1" w:themeShade="80"/>
          <w:u w:val="none"/>
        </w:rPr>
        <w:t>Lecturas:</w:t>
      </w:r>
    </w:p>
    <w:p w:rsidR="009301E6" w:rsidRPr="0026598F" w:rsidRDefault="009301E6" w:rsidP="009301E6">
      <w:pPr>
        <w:pStyle w:val="Prrafodelista"/>
        <w:spacing w:after="0" w:line="240" w:lineRule="auto"/>
        <w:ind w:left="426" w:firstLine="282"/>
        <w:rPr>
          <w:b/>
          <w:color w:val="1F4E79" w:themeColor="accent1" w:themeShade="80"/>
        </w:rPr>
      </w:pPr>
      <w:r w:rsidRPr="0026598F">
        <w:rPr>
          <w:b/>
          <w:color w:val="1F4E79" w:themeColor="accent1" w:themeShade="80"/>
        </w:rPr>
        <w:t xml:space="preserve">- Técnicas de litigación en procedimientos orales </w:t>
      </w:r>
      <w:proofErr w:type="spellStart"/>
      <w:r w:rsidRPr="0026598F">
        <w:rPr>
          <w:b/>
          <w:color w:val="1F4E79" w:themeColor="accent1" w:themeShade="80"/>
        </w:rPr>
        <w:t>adversariales</w:t>
      </w:r>
      <w:proofErr w:type="spellEnd"/>
      <w:r w:rsidRPr="0026598F">
        <w:rPr>
          <w:b/>
          <w:color w:val="1F4E79" w:themeColor="accent1" w:themeShade="80"/>
        </w:rPr>
        <w:t>.</w:t>
      </w:r>
    </w:p>
    <w:p w:rsidR="009301E6" w:rsidRPr="0026598F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b/>
          <w:color w:val="1F4E79" w:themeColor="accent1" w:themeShade="80"/>
        </w:rPr>
      </w:pPr>
      <w:proofErr w:type="spellStart"/>
      <w:r w:rsidRPr="0026598F">
        <w:rPr>
          <w:b/>
          <w:color w:val="1F4E79" w:themeColor="accent1" w:themeShade="80"/>
        </w:rPr>
        <w:t>Baytelman</w:t>
      </w:r>
      <w:proofErr w:type="spellEnd"/>
      <w:r w:rsidRPr="0026598F">
        <w:rPr>
          <w:b/>
          <w:color w:val="1F4E79" w:themeColor="accent1" w:themeShade="80"/>
        </w:rPr>
        <w:t>, Andrés y Duce, Mauricio; “Litigación Penal. Juicio Oral y Prueba”; Santiago 2004; Universidad Diego Portales en</w:t>
      </w:r>
    </w:p>
    <w:p w:rsidR="009301E6" w:rsidRPr="0026598F" w:rsidRDefault="000E0984" w:rsidP="009301E6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Calibri" w:hAnsi="Calibri"/>
          <w:b/>
          <w:color w:val="1F4E79" w:themeColor="accent1" w:themeShade="80"/>
          <w:u w:val="none"/>
        </w:rPr>
      </w:pPr>
      <w:hyperlink r:id="rId27" w:history="1">
        <w:r w:rsidR="009301E6" w:rsidRPr="0026598F">
          <w:rPr>
            <w:rStyle w:val="Hipervnculo"/>
            <w:b/>
            <w:color w:val="1F4E79" w:themeColor="accent1" w:themeShade="80"/>
          </w:rPr>
          <w:t>https://cec.mpba.gov.ar/sites/default/files/jxj/150409_litigacion_penal.pdf</w:t>
        </w:r>
      </w:hyperlink>
    </w:p>
    <w:p w:rsidR="009301E6" w:rsidRDefault="009301E6" w:rsidP="009301E6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Style w:val="Hipervnculo"/>
          <w:rFonts w:ascii="Calibri" w:hAnsi="Calibri"/>
          <w:b/>
          <w:color w:val="auto"/>
          <w:u w:val="none"/>
        </w:rPr>
      </w:pPr>
      <w:r>
        <w:rPr>
          <w:rStyle w:val="Hipervnculo"/>
          <w:rFonts w:ascii="Calibri" w:hAnsi="Calibri"/>
          <w:b/>
          <w:color w:val="auto"/>
          <w:u w:val="none"/>
        </w:rPr>
        <w:t>8. Normativas específicas que regulan a la Defensoría Penal Pública</w:t>
      </w:r>
    </w:p>
    <w:p w:rsidR="009301E6" w:rsidRPr="00C600AB" w:rsidRDefault="009301E6" w:rsidP="009301E6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Calibri" w:hAnsi="Calibri" w:cs="Arial"/>
          <w:b/>
          <w:color w:val="0070C0"/>
          <w:u w:val="none"/>
        </w:rPr>
      </w:pPr>
      <w:r>
        <w:rPr>
          <w:rStyle w:val="Hipervnculo"/>
          <w:rFonts w:ascii="Calibri" w:hAnsi="Calibri"/>
          <w:b/>
          <w:color w:val="auto"/>
          <w:u w:val="none"/>
        </w:rPr>
        <w:t>Ley 19.718 que crea la Defensoría Penal Pública</w:t>
      </w:r>
    </w:p>
    <w:p w:rsidR="009301E6" w:rsidRPr="00C600AB" w:rsidRDefault="009301E6" w:rsidP="009301E6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Calibri" w:hAnsi="Calibri" w:cs="Arial"/>
          <w:b/>
          <w:color w:val="0070C0"/>
          <w:u w:val="none"/>
        </w:rPr>
      </w:pPr>
      <w:r>
        <w:rPr>
          <w:rStyle w:val="Hipervnculo"/>
          <w:rFonts w:ascii="Calibri" w:hAnsi="Calibri"/>
          <w:b/>
          <w:color w:val="auto"/>
          <w:u w:val="none"/>
        </w:rPr>
        <w:t>Resolución que aprueba estándares básicos para el ejercicio de la defensa penal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left="708"/>
        <w:jc w:val="both"/>
        <w:rPr>
          <w:b/>
          <w:color w:val="1F4E79" w:themeColor="accent1" w:themeShade="80"/>
        </w:rPr>
      </w:pPr>
      <w:r w:rsidRPr="0026598F">
        <w:rPr>
          <w:b/>
          <w:color w:val="1F4E79" w:themeColor="accent1" w:themeShade="80"/>
        </w:rPr>
        <w:t>Lectura para el tema “</w:t>
      </w:r>
      <w:r w:rsidRPr="0026598F">
        <w:rPr>
          <w:rStyle w:val="Hipervnculo"/>
          <w:rFonts w:ascii="Calibri" w:hAnsi="Calibri"/>
          <w:b/>
          <w:color w:val="1F4E79" w:themeColor="accent1" w:themeShade="80"/>
          <w:u w:val="none"/>
        </w:rPr>
        <w:t>8. Normativas específicas que regulan a la Defensoría Penal Pública”</w:t>
      </w:r>
      <w:r w:rsidRPr="0026598F">
        <w:rPr>
          <w:b/>
          <w:color w:val="1F4E79" w:themeColor="accent1" w:themeShade="80"/>
        </w:rPr>
        <w:t xml:space="preserve">: 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left="708"/>
        <w:jc w:val="both"/>
        <w:rPr>
          <w:b/>
          <w:color w:val="1F4E79" w:themeColor="accent1" w:themeShade="80"/>
        </w:rPr>
      </w:pPr>
      <w:r w:rsidRPr="0026598F">
        <w:rPr>
          <w:b/>
          <w:color w:val="1F4E79" w:themeColor="accent1" w:themeShade="80"/>
        </w:rPr>
        <w:t>- Ley Nº 19.718, que crea la Defensoría Penal Pública</w:t>
      </w:r>
    </w:p>
    <w:p w:rsidR="009301E6" w:rsidRPr="0026598F" w:rsidRDefault="009301E6" w:rsidP="009301E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26598F">
        <w:rPr>
          <w:b/>
          <w:color w:val="1F4E79" w:themeColor="accent1" w:themeShade="80"/>
        </w:rPr>
        <w:t xml:space="preserve">- </w:t>
      </w:r>
      <w:r w:rsidRPr="0026598F">
        <w:rPr>
          <w:rFonts w:ascii="Calibri" w:hAnsi="Calibri" w:cs="Calibri"/>
          <w:b/>
          <w:color w:val="1F4E79" w:themeColor="accent1" w:themeShade="80"/>
        </w:rPr>
        <w:t xml:space="preserve">Resolución Exenta N°3389/2010, con todas sus modificaciones, que aprueba estándares básicos para el ejercicio de la defensa penal pública (disponible en página web </w:t>
      </w:r>
      <w:hyperlink r:id="rId28" w:history="1">
        <w:r w:rsidRPr="0026598F">
          <w:rPr>
            <w:rFonts w:ascii="Calibri" w:hAnsi="Calibri" w:cs="Calibri"/>
            <w:b/>
            <w:color w:val="1F4E79" w:themeColor="accent1" w:themeShade="80"/>
            <w:u w:val="single"/>
          </w:rPr>
          <w:t>www.dpp.cl</w:t>
        </w:r>
      </w:hyperlink>
      <w:r w:rsidRPr="0026598F">
        <w:rPr>
          <w:rFonts w:ascii="Calibri" w:hAnsi="Calibri" w:cs="Calibri"/>
          <w:b/>
          <w:color w:val="1F4E79" w:themeColor="accent1" w:themeShade="80"/>
          <w:u w:val="single"/>
        </w:rPr>
        <w:t>)</w:t>
      </w:r>
    </w:p>
    <w:p w:rsidR="009301E6" w:rsidRDefault="009301E6" w:rsidP="009301E6">
      <w:pPr>
        <w:pStyle w:val="Default"/>
        <w:jc w:val="both"/>
        <w:rPr>
          <w:b/>
          <w:sz w:val="22"/>
          <w:szCs w:val="22"/>
        </w:rPr>
      </w:pPr>
    </w:p>
    <w:p w:rsidR="009301E6" w:rsidRPr="00854045" w:rsidRDefault="009301E6" w:rsidP="008A52DD">
      <w:pPr>
        <w:spacing w:after="0" w:line="360" w:lineRule="auto"/>
        <w:jc w:val="center"/>
        <w:rPr>
          <w:rFonts w:ascii="Calibri" w:eastAsia="Calibri" w:hAnsi="Calibri" w:cs="Times New Roman"/>
          <w:b/>
          <w:u w:val="single"/>
        </w:rPr>
      </w:pPr>
    </w:p>
    <w:sectPr w:rsidR="009301E6" w:rsidRPr="00854045">
      <w:headerReference w:type="default" r:id="rId29"/>
      <w:footerReference w:type="default" r:id="rId3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485" w:rsidRDefault="00502485" w:rsidP="00C95397">
      <w:pPr>
        <w:spacing w:after="0" w:line="240" w:lineRule="auto"/>
      </w:pPr>
      <w:r>
        <w:separator/>
      </w:r>
    </w:p>
  </w:endnote>
  <w:endnote w:type="continuationSeparator" w:id="0">
    <w:p w:rsidR="00502485" w:rsidRDefault="00502485" w:rsidP="00C9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Bright-Dem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DD" w:rsidRPr="008A52DD" w:rsidRDefault="008A52DD" w:rsidP="008A52DD">
    <w:pPr>
      <w:autoSpaceDE w:val="0"/>
      <w:autoSpaceDN w:val="0"/>
      <w:adjustRightInd w:val="0"/>
      <w:spacing w:after="0" w:line="240" w:lineRule="auto"/>
      <w:jc w:val="both"/>
      <w:rPr>
        <w:rFonts w:ascii="Calibri" w:hAnsi="Calibri" w:cs="Calibri"/>
        <w:color w:val="000000"/>
        <w:szCs w:val="24"/>
      </w:rPr>
    </w:pPr>
  </w:p>
  <w:p w:rsidR="008A52DD" w:rsidRPr="008A52DD" w:rsidRDefault="008A52DD" w:rsidP="008A52DD">
    <w:pPr>
      <w:pStyle w:val="Piedepgina"/>
      <w:jc w:val="both"/>
      <w:rPr>
        <w:rFonts w:ascii="Calibri" w:hAnsi="Calibri" w:cs="Calibri"/>
        <w:i/>
        <w:iCs/>
        <w:color w:val="000000"/>
        <w:sz w:val="18"/>
        <w:szCs w:val="18"/>
      </w:rPr>
    </w:pPr>
    <w:r w:rsidRPr="008A52DD">
      <w:rPr>
        <w:rFonts w:ascii="Calibri" w:hAnsi="Calibri" w:cs="Calibri"/>
        <w:color w:val="000000"/>
        <w:sz w:val="18"/>
        <w:szCs w:val="18"/>
      </w:rPr>
      <w:t xml:space="preserve"> </w:t>
    </w:r>
    <w:r w:rsidRPr="008A52DD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(*)  Nota 1: </w:t>
    </w:r>
    <w:r w:rsidRPr="008A52DD">
      <w:rPr>
        <w:rFonts w:ascii="Calibri" w:hAnsi="Calibri" w:cs="Calibri"/>
        <w:i/>
        <w:iCs/>
        <w:color w:val="000000"/>
        <w:sz w:val="18"/>
        <w:szCs w:val="18"/>
      </w:rPr>
      <w:t>En caso de que parte del material de estudio esté desactualizado por modificaciones legales posteriores, es responsabilidad del postulante conocer dichas modificaciones y responder la prueba conforme a ellas.</w:t>
    </w:r>
  </w:p>
  <w:p w:rsidR="008A52DD" w:rsidRPr="008A52DD" w:rsidRDefault="008A52DD" w:rsidP="008A52DD">
    <w:pPr>
      <w:pStyle w:val="Piedepgina"/>
      <w:jc w:val="both"/>
      <w:rPr>
        <w:sz w:val="18"/>
        <w:szCs w:val="18"/>
      </w:rPr>
    </w:pPr>
    <w:r w:rsidRPr="008A52DD">
      <w:rPr>
        <w:rFonts w:ascii="Calibri" w:hAnsi="Calibri" w:cs="Calibri"/>
        <w:b/>
        <w:i/>
        <w:iCs/>
        <w:color w:val="000000"/>
        <w:sz w:val="18"/>
        <w:szCs w:val="18"/>
      </w:rPr>
      <w:t xml:space="preserve">Nota 2: </w:t>
    </w:r>
    <w:r w:rsidRPr="008A52DD">
      <w:rPr>
        <w:rFonts w:ascii="Calibri" w:hAnsi="Calibri" w:cs="Calibri"/>
        <w:i/>
        <w:iCs/>
        <w:color w:val="000000"/>
        <w:sz w:val="18"/>
        <w:szCs w:val="18"/>
      </w:rPr>
      <w:t>Las preguntas y respuestas de la prueba de conocimientos, sólo están sustentadas en este temario, y no en otros autores o textos.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485" w:rsidRDefault="00502485" w:rsidP="00C95397">
      <w:pPr>
        <w:spacing w:after="0" w:line="240" w:lineRule="auto"/>
      </w:pPr>
      <w:r>
        <w:separator/>
      </w:r>
    </w:p>
  </w:footnote>
  <w:footnote w:type="continuationSeparator" w:id="0">
    <w:p w:rsidR="00502485" w:rsidRDefault="00502485" w:rsidP="00C9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DD" w:rsidRDefault="008A52DD">
    <w:pPr>
      <w:pStyle w:val="Encabezado"/>
    </w:pPr>
    <w:r w:rsidRPr="008A52DD">
      <w:rPr>
        <w:noProof/>
        <w:lang w:eastAsia="es-CL"/>
      </w:rPr>
      <w:drawing>
        <wp:inline distT="0" distB="0" distL="0" distR="0">
          <wp:extent cx="1167171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56" cy="42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37B"/>
    <w:multiLevelType w:val="hybridMultilevel"/>
    <w:tmpl w:val="B274B61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3F72"/>
    <w:multiLevelType w:val="hybridMultilevel"/>
    <w:tmpl w:val="77BABC16"/>
    <w:lvl w:ilvl="0" w:tplc="2A100128">
      <w:start w:val="8"/>
      <w:numFmt w:val="upperRoman"/>
      <w:lvlText w:val="%1)"/>
      <w:lvlJc w:val="left"/>
      <w:pPr>
        <w:ind w:left="1003" w:hanging="720"/>
      </w:pPr>
      <w:rPr>
        <w:rFonts w:hint="default"/>
        <w:b w:val="0"/>
        <w:color w:val="000000" w:themeColor="text1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2E2BC4"/>
    <w:multiLevelType w:val="hybridMultilevel"/>
    <w:tmpl w:val="78B41486"/>
    <w:lvl w:ilvl="0" w:tplc="E13C5AC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7A6F"/>
    <w:multiLevelType w:val="hybridMultilevel"/>
    <w:tmpl w:val="B34272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31C9F"/>
    <w:multiLevelType w:val="hybridMultilevel"/>
    <w:tmpl w:val="77BABC16"/>
    <w:lvl w:ilvl="0" w:tplc="2A100128">
      <w:start w:val="8"/>
      <w:numFmt w:val="upperRoman"/>
      <w:lvlText w:val="%1)"/>
      <w:lvlJc w:val="left"/>
      <w:pPr>
        <w:ind w:left="1003" w:hanging="720"/>
      </w:pPr>
      <w:rPr>
        <w:rFonts w:hint="default"/>
        <w:b w:val="0"/>
        <w:color w:val="000000" w:themeColor="text1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2686C8F"/>
    <w:multiLevelType w:val="hybridMultilevel"/>
    <w:tmpl w:val="6A1E5902"/>
    <w:lvl w:ilvl="0" w:tplc="16786C14">
      <w:start w:val="1"/>
      <w:numFmt w:val="lowerLetter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11473"/>
    <w:multiLevelType w:val="hybridMultilevel"/>
    <w:tmpl w:val="E5685C46"/>
    <w:lvl w:ilvl="0" w:tplc="8662FED6">
      <w:start w:val="1"/>
      <w:numFmt w:val="decimal"/>
      <w:lvlText w:val="%1)"/>
      <w:lvlJc w:val="left"/>
      <w:pPr>
        <w:ind w:left="643" w:hanging="360"/>
      </w:pPr>
      <w:rPr>
        <w:rFonts w:hint="default"/>
        <w:color w:val="0070C0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BF22D19"/>
    <w:multiLevelType w:val="hybridMultilevel"/>
    <w:tmpl w:val="19B45852"/>
    <w:lvl w:ilvl="0" w:tplc="933032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35C57"/>
    <w:multiLevelType w:val="hybridMultilevel"/>
    <w:tmpl w:val="9A2296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C1019"/>
    <w:multiLevelType w:val="hybridMultilevel"/>
    <w:tmpl w:val="2B7468E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45A42"/>
    <w:multiLevelType w:val="hybridMultilevel"/>
    <w:tmpl w:val="FEEC536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A6143"/>
    <w:multiLevelType w:val="hybridMultilevel"/>
    <w:tmpl w:val="A34E97DE"/>
    <w:lvl w:ilvl="0" w:tplc="9AB82390">
      <w:start w:val="1"/>
      <w:numFmt w:val="lowerLetter"/>
      <w:lvlText w:val="%1)"/>
      <w:lvlJc w:val="left"/>
      <w:pPr>
        <w:ind w:left="1440" w:hanging="720"/>
      </w:pPr>
      <w:rPr>
        <w:rFonts w:ascii="Calibri" w:eastAsiaTheme="minorHAnsi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E343F3"/>
    <w:multiLevelType w:val="hybridMultilevel"/>
    <w:tmpl w:val="35A697F2"/>
    <w:lvl w:ilvl="0" w:tplc="9FF4C1B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97"/>
    <w:rsid w:val="00005828"/>
    <w:rsid w:val="00097888"/>
    <w:rsid w:val="000E0984"/>
    <w:rsid w:val="00197415"/>
    <w:rsid w:val="001E5EB1"/>
    <w:rsid w:val="00246FCC"/>
    <w:rsid w:val="0026598F"/>
    <w:rsid w:val="002C55F3"/>
    <w:rsid w:val="002D6CEB"/>
    <w:rsid w:val="003928E2"/>
    <w:rsid w:val="003B6A1F"/>
    <w:rsid w:val="003F6B42"/>
    <w:rsid w:val="00411AE8"/>
    <w:rsid w:val="004351BB"/>
    <w:rsid w:val="00502485"/>
    <w:rsid w:val="006163BC"/>
    <w:rsid w:val="00655BBD"/>
    <w:rsid w:val="006951D6"/>
    <w:rsid w:val="00710902"/>
    <w:rsid w:val="007118FD"/>
    <w:rsid w:val="00767858"/>
    <w:rsid w:val="007C0946"/>
    <w:rsid w:val="00854045"/>
    <w:rsid w:val="00856C8E"/>
    <w:rsid w:val="0087020C"/>
    <w:rsid w:val="008A52DD"/>
    <w:rsid w:val="008C2D39"/>
    <w:rsid w:val="008C30E7"/>
    <w:rsid w:val="00915DBC"/>
    <w:rsid w:val="009301E6"/>
    <w:rsid w:val="00942912"/>
    <w:rsid w:val="00960D0E"/>
    <w:rsid w:val="009A44B3"/>
    <w:rsid w:val="009D3C0E"/>
    <w:rsid w:val="009D6211"/>
    <w:rsid w:val="00A02C85"/>
    <w:rsid w:val="00A46FF4"/>
    <w:rsid w:val="00A9083F"/>
    <w:rsid w:val="00AB506B"/>
    <w:rsid w:val="00AD4B6F"/>
    <w:rsid w:val="00B664FC"/>
    <w:rsid w:val="00B86FC1"/>
    <w:rsid w:val="00C95397"/>
    <w:rsid w:val="00CA261A"/>
    <w:rsid w:val="00CE67CA"/>
    <w:rsid w:val="00D87A19"/>
    <w:rsid w:val="00E64B7A"/>
    <w:rsid w:val="00F61E21"/>
    <w:rsid w:val="00F7759F"/>
    <w:rsid w:val="00FC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F5628-6EA8-430C-B035-469902F6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953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53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5397"/>
    <w:rPr>
      <w:color w:val="0563C1" w:themeColor="hyperlink"/>
      <w:u w:val="single"/>
    </w:rPr>
  </w:style>
  <w:style w:type="character" w:customStyle="1" w:styleId="solext0">
    <w:name w:val="solext0"/>
    <w:basedOn w:val="Fuentedeprrafopredeter"/>
    <w:rsid w:val="00C95397"/>
  </w:style>
  <w:style w:type="character" w:customStyle="1" w:styleId="solext1">
    <w:name w:val="solext1"/>
    <w:basedOn w:val="Fuentedeprrafopredeter"/>
    <w:rsid w:val="00C95397"/>
  </w:style>
  <w:style w:type="character" w:customStyle="1" w:styleId="solext2">
    <w:name w:val="solext2"/>
    <w:basedOn w:val="Fuentedeprrafopredeter"/>
    <w:rsid w:val="00C95397"/>
  </w:style>
  <w:style w:type="paragraph" w:styleId="Sinespaciado">
    <w:name w:val="No Spacing"/>
    <w:uiPriority w:val="1"/>
    <w:qFormat/>
    <w:rsid w:val="00C95397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C953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5397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9539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9539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95397"/>
    <w:rPr>
      <w:vertAlign w:val="superscript"/>
    </w:rPr>
  </w:style>
  <w:style w:type="character" w:customStyle="1" w:styleId="solext10">
    <w:name w:val="solext10"/>
    <w:basedOn w:val="Fuentedeprrafopredeter"/>
    <w:rsid w:val="00655BBD"/>
  </w:style>
  <w:style w:type="character" w:customStyle="1" w:styleId="solext8">
    <w:name w:val="solext8"/>
    <w:basedOn w:val="Fuentedeprrafopredeter"/>
    <w:rsid w:val="00655BBD"/>
  </w:style>
  <w:style w:type="character" w:customStyle="1" w:styleId="solext4">
    <w:name w:val="solext4"/>
    <w:basedOn w:val="Fuentedeprrafopredeter"/>
    <w:rsid w:val="00655BBD"/>
  </w:style>
  <w:style w:type="character" w:customStyle="1" w:styleId="solext5">
    <w:name w:val="solext5"/>
    <w:basedOn w:val="Fuentedeprrafopredeter"/>
    <w:rsid w:val="00655BBD"/>
  </w:style>
  <w:style w:type="character" w:customStyle="1" w:styleId="solext6">
    <w:name w:val="solext6"/>
    <w:basedOn w:val="Fuentedeprrafopredeter"/>
    <w:rsid w:val="00655BBD"/>
  </w:style>
  <w:style w:type="character" w:customStyle="1" w:styleId="solext7">
    <w:name w:val="solext7"/>
    <w:basedOn w:val="Fuentedeprrafopredeter"/>
    <w:rsid w:val="00655BBD"/>
  </w:style>
  <w:style w:type="paragraph" w:styleId="Encabezado">
    <w:name w:val="header"/>
    <w:basedOn w:val="Normal"/>
    <w:link w:val="EncabezadoCar"/>
    <w:uiPriority w:val="99"/>
    <w:unhideWhenUsed/>
    <w:rsid w:val="008A5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2DD"/>
  </w:style>
  <w:style w:type="paragraph" w:styleId="Piedepgina">
    <w:name w:val="footer"/>
    <w:basedOn w:val="Normal"/>
    <w:link w:val="PiedepginaCar"/>
    <w:uiPriority w:val="99"/>
    <w:unhideWhenUsed/>
    <w:rsid w:val="008A5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2DD"/>
  </w:style>
  <w:style w:type="character" w:styleId="Hipervnculovisitado">
    <w:name w:val="FollowedHyperlink"/>
    <w:basedOn w:val="Fuentedeprrafopredeter"/>
    <w:uiPriority w:val="99"/>
    <w:semiHidden/>
    <w:unhideWhenUsed/>
    <w:rsid w:val="00A02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y17h449a8cwh6dw/AAC3eGDcOQ9O83cz80tdPOK0a?dl=0" TargetMode="External"/><Relationship Id="rId13" Type="http://schemas.openxmlformats.org/officeDocument/2006/relationships/hyperlink" Target="https://www.dropbox.com/sh/y17h449a8cwh6dw/AAC3eGDcOQ9O83cz80tdPOK0a?dl=0" TargetMode="External"/><Relationship Id="rId18" Type="http://schemas.openxmlformats.org/officeDocument/2006/relationships/hyperlink" Target="https://www.dropbox.com/sh/y17h449a8cwh6dw/AAC3eGDcOQ9O83cz80tdPOK0a?dl=0" TargetMode="External"/><Relationship Id="rId26" Type="http://schemas.openxmlformats.org/officeDocument/2006/relationships/hyperlink" Target="https://www.dropbox.com/sh/y17h449a8cwh6dw/AAC3eGDcOQ9O83cz80tdPOK0a?dl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ropbox.com/sh/y17h449a8cwh6dw/AAC3eGDcOQ9O83cz80tdPOK0a?dl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ropbox.com/sh/y17h449a8cwh6dw/AAC3eGDcOQ9O83cz80tdPOK0a?dl=0" TargetMode="External"/><Relationship Id="rId17" Type="http://schemas.openxmlformats.org/officeDocument/2006/relationships/hyperlink" Target="https://www.dropbox.com/sh/y17h449a8cwh6dw/AAC3eGDcOQ9O83cz80tdPOK0a?dl=0" TargetMode="External"/><Relationship Id="rId25" Type="http://schemas.openxmlformats.org/officeDocument/2006/relationships/hyperlink" Target="https://www.dropbox.com/sh/y17h449a8cwh6dw/AAC3eGDcOQ9O83cz80tdPOK0a?dl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ropbox.com/sh/y17h449a8cwh6dw/AAC3eGDcOQ9O83cz80tdPOK0a?dl=0" TargetMode="External"/><Relationship Id="rId20" Type="http://schemas.openxmlformats.org/officeDocument/2006/relationships/hyperlink" Target="https://www.dropbox.com/sh/y17h449a8cwh6dw/AAC3eGDcOQ9O83cz80tdPOK0a?dl=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h/y17h449a8cwh6dw/AAC3eGDcOQ9O83cz80tdPOK0a?dl=0" TargetMode="External"/><Relationship Id="rId24" Type="http://schemas.openxmlformats.org/officeDocument/2006/relationships/hyperlink" Target="http://www,tribunalconstitucional.cl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ropbox.com/sh/y17h449a8cwh6dw/AAC3eGDcOQ9O83cz80tdPOK0a?dl=0" TargetMode="External"/><Relationship Id="rId23" Type="http://schemas.openxmlformats.org/officeDocument/2006/relationships/hyperlink" Target="https://www.dropbox.com/sh/y17h449a8cwh6dw/AAC3eGDcOQ9O83cz80tdPOK0a?dl=0" TargetMode="External"/><Relationship Id="rId28" Type="http://schemas.openxmlformats.org/officeDocument/2006/relationships/hyperlink" Target="http://www.dpp.cl" TargetMode="External"/><Relationship Id="rId10" Type="http://schemas.openxmlformats.org/officeDocument/2006/relationships/hyperlink" Target="https://www.dropbox.com/sh/y17h449a8cwh6dw/AAC3eGDcOQ9O83cz80tdPOK0a?dl=0" TargetMode="External"/><Relationship Id="rId19" Type="http://schemas.openxmlformats.org/officeDocument/2006/relationships/hyperlink" Target="https://www.dropbox.com/sh/y17h449a8cwh6dw/AAC3eGDcOQ9O83cz80tdPOK0a?dl=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opbox.com/sh/y17h449a8cwh6dw/AAC3eGDcOQ9O83cz80tdPOK0a?dl=0" TargetMode="External"/><Relationship Id="rId14" Type="http://schemas.openxmlformats.org/officeDocument/2006/relationships/hyperlink" Target="https://www.dropbox.com/sh/y17h449a8cwh6dw/AAC3eGDcOQ9O83cz80tdPOK0a?dl=0" TargetMode="External"/><Relationship Id="rId22" Type="http://schemas.openxmlformats.org/officeDocument/2006/relationships/hyperlink" Target="https://decisia.lexum.com/dppc/cj/es/item/181691/index.do" TargetMode="External"/><Relationship Id="rId27" Type="http://schemas.openxmlformats.org/officeDocument/2006/relationships/hyperlink" Target="https://cec.mpba.gov.ar/sites/default/files/jxj/150409_litigacion_penal.pdf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EC10-1C18-4314-A728-FCDFC2FC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2695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Irarrazaval  Zaldivar</dc:creator>
  <cp:keywords/>
  <dc:description/>
  <cp:lastModifiedBy>Carolina Gajardo Romero</cp:lastModifiedBy>
  <cp:revision>3</cp:revision>
  <dcterms:created xsi:type="dcterms:W3CDTF">2018-04-16T20:16:00Z</dcterms:created>
  <dcterms:modified xsi:type="dcterms:W3CDTF">2018-04-25T18:14:00Z</dcterms:modified>
</cp:coreProperties>
</file>