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5B9" w:rsidRPr="008A52DD" w:rsidRDefault="003515B9" w:rsidP="003515B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8A52DD">
        <w:rPr>
          <w:rFonts w:ascii="Calibri" w:hAnsi="Calibri" w:cs="Calibri"/>
          <w:b/>
          <w:bCs/>
        </w:rPr>
        <w:t>TEMARIO PARA PRUEBA DE CONOCIMIENTOS (*)</w:t>
      </w:r>
    </w:p>
    <w:p w:rsidR="003515B9" w:rsidRPr="00854045" w:rsidRDefault="003515B9" w:rsidP="003515B9">
      <w:pPr>
        <w:spacing w:after="0" w:line="360" w:lineRule="auto"/>
        <w:jc w:val="center"/>
        <w:rPr>
          <w:rFonts w:ascii="Calibri" w:eastAsia="Calibri" w:hAnsi="Calibri" w:cs="Times New Roman"/>
          <w:b/>
          <w:u w:val="single"/>
        </w:rPr>
      </w:pPr>
      <w:r w:rsidRPr="00854045">
        <w:rPr>
          <w:rFonts w:ascii="Calibri" w:hAnsi="Calibri" w:cs="Calibri"/>
          <w:b/>
          <w:bCs/>
        </w:rPr>
        <w:t>CONCURSO DEFENSOR(A) LOCAL</w:t>
      </w:r>
      <w:r>
        <w:rPr>
          <w:rFonts w:ascii="Calibri" w:hAnsi="Calibri" w:cs="Calibri"/>
          <w:b/>
          <w:bCs/>
        </w:rPr>
        <w:t xml:space="preserve"> JEFE</w:t>
      </w:r>
      <w:r w:rsidRPr="00854045">
        <w:rPr>
          <w:rFonts w:ascii="Calibri" w:hAnsi="Calibri" w:cs="Calibri"/>
          <w:b/>
          <w:bCs/>
        </w:rPr>
        <w:t xml:space="preserve"> – 2018</w:t>
      </w:r>
    </w:p>
    <w:p w:rsidR="00FC5B12" w:rsidRPr="00EB7B65" w:rsidRDefault="00FC5B12" w:rsidP="00FC5B12">
      <w:pPr>
        <w:pStyle w:val="Default"/>
        <w:spacing w:line="360" w:lineRule="auto"/>
        <w:ind w:left="720"/>
        <w:jc w:val="both"/>
        <w:rPr>
          <w:sz w:val="22"/>
          <w:szCs w:val="22"/>
          <w:u w:val="single"/>
        </w:rPr>
      </w:pPr>
    </w:p>
    <w:p w:rsidR="00FC5B12" w:rsidRPr="00A9083F" w:rsidRDefault="00A9083F" w:rsidP="00FC5B12">
      <w:pPr>
        <w:pStyle w:val="Default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 w:rsidRPr="00A9083F">
        <w:rPr>
          <w:b/>
          <w:sz w:val="22"/>
          <w:szCs w:val="22"/>
          <w:u w:val="single"/>
        </w:rPr>
        <w:t>D</w:t>
      </w:r>
      <w:r w:rsidR="00FC5B12" w:rsidRPr="00A9083F">
        <w:rPr>
          <w:b/>
          <w:sz w:val="22"/>
          <w:szCs w:val="22"/>
          <w:u w:val="single"/>
        </w:rPr>
        <w:t>erecho Procesal Penal:</w:t>
      </w:r>
    </w:p>
    <w:p w:rsidR="00FC5B12" w:rsidRPr="00EB7B65" w:rsidRDefault="00FC5B12" w:rsidP="00FC5B12">
      <w:pPr>
        <w:pStyle w:val="Default"/>
        <w:spacing w:line="360" w:lineRule="auto"/>
        <w:ind w:left="1080"/>
        <w:jc w:val="both"/>
        <w:rPr>
          <w:b/>
          <w:sz w:val="22"/>
          <w:szCs w:val="22"/>
        </w:rPr>
      </w:pPr>
    </w:p>
    <w:p w:rsidR="00FC5B12" w:rsidRPr="00EB7B65" w:rsidRDefault="00FC5B12" w:rsidP="00FC5B12">
      <w:pPr>
        <w:pStyle w:val="Default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EB7B65">
        <w:rPr>
          <w:sz w:val="22"/>
          <w:szCs w:val="22"/>
        </w:rPr>
        <w:t>Libro I del Código Procesal Penal completo (principios</w:t>
      </w:r>
      <w:r w:rsidR="009D6211">
        <w:rPr>
          <w:sz w:val="22"/>
          <w:szCs w:val="22"/>
        </w:rPr>
        <w:t xml:space="preserve"> básicos</w:t>
      </w:r>
      <w:r w:rsidRPr="00EB7B65">
        <w:rPr>
          <w:sz w:val="22"/>
          <w:szCs w:val="22"/>
        </w:rPr>
        <w:t xml:space="preserve">, </w:t>
      </w:r>
      <w:r w:rsidR="009D6211">
        <w:rPr>
          <w:sz w:val="22"/>
          <w:szCs w:val="22"/>
        </w:rPr>
        <w:t xml:space="preserve">actividad procesal, </w:t>
      </w:r>
      <w:r w:rsidRPr="00EB7B65">
        <w:rPr>
          <w:sz w:val="22"/>
          <w:szCs w:val="22"/>
        </w:rPr>
        <w:t>acción penal, sujetos procesales, medidas cautelares personales</w:t>
      </w:r>
      <w:r w:rsidR="009D6211">
        <w:rPr>
          <w:sz w:val="22"/>
          <w:szCs w:val="22"/>
        </w:rPr>
        <w:t>, medidas cautelares reales, nulidades procesales); control de identidad del artículo 12 de la ley N° 12 Ley 20.931.</w:t>
      </w:r>
    </w:p>
    <w:p w:rsidR="00FC5B12" w:rsidRDefault="00FC5B12" w:rsidP="00FC5B12">
      <w:pPr>
        <w:pStyle w:val="Default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EB7B65">
        <w:rPr>
          <w:sz w:val="22"/>
          <w:szCs w:val="22"/>
        </w:rPr>
        <w:t>Libro II del Código Procesal Penal completo (procedimiento ordinario)</w:t>
      </w:r>
    </w:p>
    <w:p w:rsidR="00FC5B12" w:rsidRPr="00EB7B65" w:rsidRDefault="00FC5B12" w:rsidP="00FC5B12">
      <w:pPr>
        <w:pStyle w:val="Default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EB7B65">
        <w:rPr>
          <w:sz w:val="22"/>
          <w:szCs w:val="22"/>
        </w:rPr>
        <w:t>Libro III del Código Procesal Penal completo (recursos).</w:t>
      </w:r>
    </w:p>
    <w:p w:rsidR="00FC5B12" w:rsidRPr="00EB7B65" w:rsidRDefault="00FC5B12" w:rsidP="00FC5B12">
      <w:pPr>
        <w:pStyle w:val="Default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EB7B65">
        <w:rPr>
          <w:sz w:val="22"/>
          <w:szCs w:val="22"/>
        </w:rPr>
        <w:t>Libro IV del Código Procesal Penal</w:t>
      </w:r>
      <w:r w:rsidR="009D6211">
        <w:rPr>
          <w:sz w:val="22"/>
          <w:szCs w:val="22"/>
        </w:rPr>
        <w:t xml:space="preserve"> (</w:t>
      </w:r>
      <w:r w:rsidRPr="00EB7B65">
        <w:rPr>
          <w:sz w:val="22"/>
          <w:szCs w:val="22"/>
        </w:rPr>
        <w:t xml:space="preserve">procedimiento simplificado, </w:t>
      </w:r>
      <w:r w:rsidR="009D6211">
        <w:rPr>
          <w:sz w:val="22"/>
          <w:szCs w:val="22"/>
        </w:rPr>
        <w:t xml:space="preserve">procedimiento por delito </w:t>
      </w:r>
      <w:r w:rsidRPr="00EB7B65">
        <w:rPr>
          <w:sz w:val="22"/>
          <w:szCs w:val="22"/>
        </w:rPr>
        <w:t xml:space="preserve">de acción privada, </w:t>
      </w:r>
      <w:r w:rsidR="009D6211">
        <w:rPr>
          <w:sz w:val="22"/>
          <w:szCs w:val="22"/>
        </w:rPr>
        <w:t xml:space="preserve">procedimiento </w:t>
      </w:r>
      <w:r w:rsidRPr="00EB7B65">
        <w:rPr>
          <w:sz w:val="22"/>
          <w:szCs w:val="22"/>
        </w:rPr>
        <w:t xml:space="preserve">abreviado, </w:t>
      </w:r>
      <w:r w:rsidR="009D6211">
        <w:rPr>
          <w:sz w:val="22"/>
          <w:szCs w:val="22"/>
        </w:rPr>
        <w:t xml:space="preserve">extradición, procedimiento para la aplicación exclusiva de medidas de seguridad, </w:t>
      </w:r>
      <w:r w:rsidRPr="00EB7B65">
        <w:rPr>
          <w:sz w:val="22"/>
          <w:szCs w:val="22"/>
        </w:rPr>
        <w:t>ejecución de sentencias condenatorias</w:t>
      </w:r>
      <w:r w:rsidR="009D6211">
        <w:rPr>
          <w:sz w:val="22"/>
          <w:szCs w:val="22"/>
        </w:rPr>
        <w:t xml:space="preserve"> y medidas de seguridad)</w:t>
      </w:r>
      <w:r>
        <w:rPr>
          <w:sz w:val="22"/>
          <w:szCs w:val="22"/>
        </w:rPr>
        <w:t>.</w:t>
      </w:r>
      <w:r w:rsidRPr="00EB7B65">
        <w:rPr>
          <w:sz w:val="22"/>
          <w:szCs w:val="22"/>
        </w:rPr>
        <w:t xml:space="preserve"> </w:t>
      </w:r>
    </w:p>
    <w:p w:rsidR="00FC5B12" w:rsidRPr="002D0356" w:rsidRDefault="00FC5B12" w:rsidP="00FC5B1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Arial"/>
          <w:b/>
          <w:color w:val="1F4E79" w:themeColor="accent1" w:themeShade="80"/>
        </w:rPr>
      </w:pPr>
      <w:r w:rsidRPr="002D0356">
        <w:rPr>
          <w:rFonts w:ascii="Calibri" w:hAnsi="Calibri" w:cs="Arial"/>
          <w:b/>
          <w:color w:val="1F4E79" w:themeColor="accent1" w:themeShade="80"/>
        </w:rPr>
        <w:t>Lecturas para todo Procesal Penal:</w:t>
      </w:r>
    </w:p>
    <w:p w:rsidR="00FC5B12" w:rsidRPr="002D0356" w:rsidRDefault="00FC5B12" w:rsidP="00FC5B12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Arial"/>
          <w:b/>
          <w:color w:val="1F4E79" w:themeColor="accent1" w:themeShade="80"/>
          <w:lang w:eastAsia="es-CL"/>
        </w:rPr>
      </w:pPr>
      <w:r w:rsidRPr="002D0356">
        <w:rPr>
          <w:rFonts w:ascii="Calibri" w:eastAsia="Calibri" w:hAnsi="Calibri" w:cs="Arial"/>
          <w:b/>
          <w:color w:val="1F4E79" w:themeColor="accent1" w:themeShade="80"/>
        </w:rPr>
        <w:t xml:space="preserve">“Derecho Procesal Penal Chileno; Principios, sujetos procesales, medidas cautelares, etapas de investigación” Tomo I; </w:t>
      </w:r>
      <w:proofErr w:type="spellStart"/>
      <w:r w:rsidRPr="002D0356">
        <w:rPr>
          <w:rFonts w:ascii="Calibri" w:eastAsia="Calibri" w:hAnsi="Calibri" w:cs="Arial"/>
          <w:b/>
          <w:color w:val="1F4E79" w:themeColor="accent1" w:themeShade="80"/>
        </w:rPr>
        <w:t>Horvitz</w:t>
      </w:r>
      <w:proofErr w:type="spellEnd"/>
      <w:r w:rsidRPr="002D0356">
        <w:rPr>
          <w:rFonts w:ascii="Calibri" w:eastAsia="Calibri" w:hAnsi="Calibri" w:cs="Arial"/>
          <w:b/>
          <w:color w:val="1F4E79" w:themeColor="accent1" w:themeShade="80"/>
        </w:rPr>
        <w:t xml:space="preserve"> Lennon, María Inés y López </w:t>
      </w:r>
      <w:proofErr w:type="spellStart"/>
      <w:r w:rsidRPr="002D0356">
        <w:rPr>
          <w:rFonts w:ascii="Calibri" w:eastAsia="Calibri" w:hAnsi="Calibri" w:cs="Arial"/>
          <w:b/>
          <w:color w:val="1F4E79" w:themeColor="accent1" w:themeShade="80"/>
        </w:rPr>
        <w:t>Masle</w:t>
      </w:r>
      <w:proofErr w:type="spellEnd"/>
      <w:r w:rsidRPr="002D0356">
        <w:rPr>
          <w:rFonts w:ascii="Calibri" w:eastAsia="Calibri" w:hAnsi="Calibri" w:cs="Arial"/>
          <w:b/>
          <w:color w:val="1F4E79" w:themeColor="accent1" w:themeShade="80"/>
        </w:rPr>
        <w:t>, Julián; Editorial Jurídica de Chile; Primera Edición; 2002</w:t>
      </w:r>
    </w:p>
    <w:p w:rsidR="00FC5B12" w:rsidRPr="002D0356" w:rsidRDefault="00FC5B12" w:rsidP="00FC5B12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Arial"/>
          <w:b/>
          <w:color w:val="1F4E79" w:themeColor="accent1" w:themeShade="80"/>
        </w:rPr>
      </w:pPr>
      <w:r w:rsidRPr="002D0356">
        <w:rPr>
          <w:rFonts w:ascii="Calibri" w:hAnsi="Calibri" w:cs="Arial"/>
          <w:b/>
          <w:color w:val="1F4E79" w:themeColor="accent1" w:themeShade="80"/>
        </w:rPr>
        <w:t>“Minuta sobre las modificaciones introducidas por la Ley 20.931, denominada “Ley de Agenda Corta”; Departamento de Estudio</w:t>
      </w:r>
      <w:r w:rsidR="00E57B8C">
        <w:rPr>
          <w:rFonts w:ascii="Calibri" w:hAnsi="Calibri" w:cs="Arial"/>
          <w:b/>
          <w:color w:val="1F4E79" w:themeColor="accent1" w:themeShade="80"/>
        </w:rPr>
        <w:t>s; Defensoría Penal Pública.</w:t>
      </w:r>
    </w:p>
    <w:p w:rsidR="00FC5B12" w:rsidRDefault="00FC5B12" w:rsidP="00E57B8C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Calibri" w:hAnsi="Calibri"/>
          <w:b/>
          <w:color w:val="1F4E79" w:themeColor="accent1" w:themeShade="80"/>
        </w:rPr>
      </w:pPr>
      <w:r w:rsidRPr="002D0356">
        <w:rPr>
          <w:rFonts w:ascii="Calibri" w:hAnsi="Calibri"/>
          <w:b/>
          <w:color w:val="1F4E79" w:themeColor="accent1" w:themeShade="80"/>
        </w:rPr>
        <w:t>Minuta sobre “Recurso de nulidad y derechos fundamentales a la luz de la jurisprudencia de l</w:t>
      </w:r>
      <w:r w:rsidR="00E57B8C">
        <w:rPr>
          <w:rFonts w:ascii="Calibri" w:hAnsi="Calibri"/>
          <w:b/>
          <w:color w:val="1F4E79" w:themeColor="accent1" w:themeShade="80"/>
        </w:rPr>
        <w:t>a Corte Suprema”.</w:t>
      </w:r>
    </w:p>
    <w:p w:rsidR="00E57B8C" w:rsidRPr="002D0356" w:rsidRDefault="00E57B8C" w:rsidP="00E57B8C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Arial"/>
          <w:b/>
          <w:color w:val="1F4E79" w:themeColor="accent1" w:themeShade="80"/>
        </w:rPr>
      </w:pPr>
      <w:hyperlink r:id="rId8" w:history="1">
        <w:r>
          <w:rPr>
            <w:rStyle w:val="Hipervnculo"/>
          </w:rPr>
          <w:t>https://www.dropbox.com/sh/y17h449a8cwh6dw/AAC3eGDcOQ9O83cz80tdPOK0a?dl=0</w:t>
        </w:r>
      </w:hyperlink>
    </w:p>
    <w:p w:rsidR="003515B9" w:rsidRPr="00EB7B65" w:rsidRDefault="003515B9" w:rsidP="00FC5B12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Arial"/>
          <w:b/>
          <w:color w:val="0070C0"/>
        </w:rPr>
      </w:pPr>
    </w:p>
    <w:p w:rsidR="00C95397" w:rsidRPr="00915DBC" w:rsidRDefault="00C95397" w:rsidP="00AB506B">
      <w:pPr>
        <w:pStyle w:val="Default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 w:rsidRPr="00915DBC">
        <w:rPr>
          <w:b/>
          <w:bCs/>
          <w:sz w:val="22"/>
          <w:szCs w:val="22"/>
          <w:u w:val="single"/>
        </w:rPr>
        <w:t>Derecho Penal</w:t>
      </w:r>
      <w:r w:rsidR="00915DBC">
        <w:rPr>
          <w:b/>
          <w:bCs/>
          <w:sz w:val="22"/>
          <w:szCs w:val="22"/>
          <w:u w:val="single"/>
        </w:rPr>
        <w:t xml:space="preserve"> </w:t>
      </w:r>
      <w:r w:rsidRPr="00915DBC">
        <w:rPr>
          <w:b/>
          <w:sz w:val="22"/>
          <w:szCs w:val="22"/>
          <w:u w:val="single"/>
        </w:rPr>
        <w:t>Parte General</w:t>
      </w:r>
    </w:p>
    <w:p w:rsidR="00C95397" w:rsidRPr="00EB7B65" w:rsidRDefault="00C95397" w:rsidP="00C95397">
      <w:pPr>
        <w:pStyle w:val="Default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EB7B65">
        <w:rPr>
          <w:sz w:val="22"/>
          <w:szCs w:val="22"/>
        </w:rPr>
        <w:t xml:space="preserve">Teoría de la ley penal: </w:t>
      </w:r>
    </w:p>
    <w:p w:rsidR="00C95397" w:rsidRPr="00EB7B65" w:rsidRDefault="00C95397" w:rsidP="00C95397">
      <w:pPr>
        <w:pStyle w:val="Defaul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EB7B65">
        <w:rPr>
          <w:sz w:val="22"/>
          <w:szCs w:val="22"/>
        </w:rPr>
        <w:lastRenderedPageBreak/>
        <w:t xml:space="preserve">leyes penales en blanco; </w:t>
      </w:r>
    </w:p>
    <w:p w:rsidR="00C95397" w:rsidRPr="00EB7B65" w:rsidRDefault="00C95397" w:rsidP="00C95397">
      <w:pPr>
        <w:pStyle w:val="Defaul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EB7B65">
        <w:rPr>
          <w:sz w:val="22"/>
          <w:szCs w:val="22"/>
        </w:rPr>
        <w:t>interpretación de la ley penal;</w:t>
      </w:r>
    </w:p>
    <w:p w:rsidR="00C95397" w:rsidRPr="00EB7B65" w:rsidRDefault="00C95397" w:rsidP="00C95397">
      <w:pPr>
        <w:pStyle w:val="Defaul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EB7B65">
        <w:rPr>
          <w:sz w:val="22"/>
          <w:szCs w:val="22"/>
        </w:rPr>
        <w:t>efectos de la ley penal en el espacio;</w:t>
      </w:r>
    </w:p>
    <w:p w:rsidR="00C95397" w:rsidRPr="00EB7B65" w:rsidRDefault="00C95397" w:rsidP="00C95397">
      <w:pPr>
        <w:pStyle w:val="Default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EB7B65">
        <w:rPr>
          <w:sz w:val="22"/>
          <w:szCs w:val="22"/>
        </w:rPr>
        <w:t>efectos de la ley penal en el tiempo;</w:t>
      </w:r>
    </w:p>
    <w:p w:rsidR="00C95397" w:rsidRPr="00EB7B65" w:rsidRDefault="00C95397" w:rsidP="00C95397">
      <w:pPr>
        <w:pStyle w:val="Default"/>
        <w:spacing w:line="360" w:lineRule="auto"/>
        <w:ind w:left="1440"/>
        <w:jc w:val="both"/>
        <w:rPr>
          <w:sz w:val="22"/>
          <w:szCs w:val="22"/>
        </w:rPr>
      </w:pPr>
    </w:p>
    <w:p w:rsidR="00C95397" w:rsidRPr="00EB7B65" w:rsidRDefault="00C95397" w:rsidP="00C95397">
      <w:pPr>
        <w:pStyle w:val="Default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EB7B65">
        <w:rPr>
          <w:sz w:val="22"/>
          <w:szCs w:val="22"/>
        </w:rPr>
        <w:t>Estructura del delito: concepto y clasificaciones (crímenes, simples delitos y faltas; delitos de dominio del hecho e infracción de un deber).</w:t>
      </w:r>
    </w:p>
    <w:p w:rsidR="00C95397" w:rsidRPr="00EB7B65" w:rsidRDefault="00C95397" w:rsidP="00C95397">
      <w:pPr>
        <w:pStyle w:val="Default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EB7B65">
        <w:rPr>
          <w:sz w:val="22"/>
          <w:szCs w:val="22"/>
        </w:rPr>
        <w:t>Teoría de la acción: casos de ausencia de acción (por ejemplo, actos reflejos).</w:t>
      </w:r>
    </w:p>
    <w:p w:rsidR="00C95397" w:rsidRPr="00EB7B65" w:rsidRDefault="00C95397" w:rsidP="00C95397">
      <w:pPr>
        <w:pStyle w:val="Default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EB7B65">
        <w:rPr>
          <w:sz w:val="22"/>
          <w:szCs w:val="22"/>
        </w:rPr>
        <w:t>Tipicidad: Faz objetiva y subjetiva del tipo. Formas excepcionales de los tipos (delitos calificados por el resultado, condiciones objetivas de punibilidad y delitos preterintencionales).</w:t>
      </w:r>
    </w:p>
    <w:p w:rsidR="00C95397" w:rsidRPr="00EB7B65" w:rsidRDefault="00C95397" w:rsidP="00C95397">
      <w:pPr>
        <w:pStyle w:val="Default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EB7B65">
        <w:rPr>
          <w:sz w:val="22"/>
          <w:szCs w:val="22"/>
        </w:rPr>
        <w:t>Antijuridicidad: concepto y causales de justificación.</w:t>
      </w:r>
    </w:p>
    <w:p w:rsidR="00C95397" w:rsidRPr="00EB7B65" w:rsidRDefault="00C95397" w:rsidP="00C95397">
      <w:pPr>
        <w:pStyle w:val="Default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EB7B65">
        <w:rPr>
          <w:sz w:val="22"/>
          <w:szCs w:val="22"/>
        </w:rPr>
        <w:t>Culpabilidad: Concepto y componentes (imputabilidad, conciencia de la ilicitud y exigibilidad). Excusas Legales absolutorias</w:t>
      </w:r>
    </w:p>
    <w:p w:rsidR="00C95397" w:rsidRPr="00EB7B65" w:rsidRDefault="00C95397" w:rsidP="00C95397">
      <w:pPr>
        <w:pStyle w:val="Default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EB7B65">
        <w:rPr>
          <w:sz w:val="22"/>
          <w:szCs w:val="22"/>
        </w:rPr>
        <w:t>Circunstancias Modificatorias de Responsabilidad Penal: circunstancias atenuantes, agravantes y mixta</w:t>
      </w:r>
      <w:r w:rsidR="00005828">
        <w:rPr>
          <w:sz w:val="22"/>
          <w:szCs w:val="22"/>
        </w:rPr>
        <w:t>s</w:t>
      </w:r>
      <w:r w:rsidRPr="00EB7B65">
        <w:rPr>
          <w:sz w:val="22"/>
          <w:szCs w:val="22"/>
        </w:rPr>
        <w:t>. Efectos según régimen de determinación de pena.</w:t>
      </w:r>
    </w:p>
    <w:p w:rsidR="00C95397" w:rsidRPr="00EB7B65" w:rsidRDefault="00C95397" w:rsidP="00C95397">
      <w:pPr>
        <w:pStyle w:val="Default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proofErr w:type="spellStart"/>
      <w:r w:rsidRPr="00EB7B65">
        <w:rPr>
          <w:sz w:val="22"/>
          <w:szCs w:val="22"/>
        </w:rPr>
        <w:t>Iter</w:t>
      </w:r>
      <w:proofErr w:type="spellEnd"/>
      <w:r w:rsidRPr="00EB7B65">
        <w:rPr>
          <w:sz w:val="22"/>
          <w:szCs w:val="22"/>
        </w:rPr>
        <w:t xml:space="preserve"> </w:t>
      </w:r>
      <w:proofErr w:type="spellStart"/>
      <w:r w:rsidRPr="00EB7B65">
        <w:rPr>
          <w:sz w:val="22"/>
          <w:szCs w:val="22"/>
        </w:rPr>
        <w:t>criminis</w:t>
      </w:r>
      <w:proofErr w:type="spellEnd"/>
      <w:r w:rsidRPr="00EB7B65">
        <w:rPr>
          <w:sz w:val="22"/>
          <w:szCs w:val="22"/>
        </w:rPr>
        <w:t>.</w:t>
      </w:r>
    </w:p>
    <w:p w:rsidR="00C95397" w:rsidRPr="00EB7B65" w:rsidRDefault="00C95397" w:rsidP="00C95397">
      <w:pPr>
        <w:pStyle w:val="Default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EB7B65">
        <w:rPr>
          <w:sz w:val="22"/>
          <w:szCs w:val="22"/>
        </w:rPr>
        <w:t xml:space="preserve">Autoría y participación (concurso de personas). </w:t>
      </w:r>
    </w:p>
    <w:p w:rsidR="00C95397" w:rsidRPr="00EB7B65" w:rsidRDefault="00C95397" w:rsidP="00C95397">
      <w:pPr>
        <w:pStyle w:val="Default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EB7B65">
        <w:rPr>
          <w:sz w:val="22"/>
          <w:szCs w:val="22"/>
        </w:rPr>
        <w:t>Concurso de delitos: Unidad del delito (unidad natural, unidad jurídica y delito continuado); concurso real; concurso ideal; concurso aparente de leyes penales.</w:t>
      </w:r>
    </w:p>
    <w:p w:rsidR="00C95397" w:rsidRPr="00EB7B65" w:rsidRDefault="00C95397" w:rsidP="00C95397">
      <w:pPr>
        <w:pStyle w:val="Default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EB7B65">
        <w:rPr>
          <w:sz w:val="22"/>
          <w:szCs w:val="22"/>
        </w:rPr>
        <w:t>Teoría del delito omisivo: concepto, clasificación (delitos de omisión propia e impropia) y aplicación de las reglas generales a estos delitos.</w:t>
      </w:r>
    </w:p>
    <w:p w:rsidR="00C95397" w:rsidRPr="00A05775" w:rsidRDefault="00C95397" w:rsidP="00C95397">
      <w:pPr>
        <w:pStyle w:val="Default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A05775">
        <w:rPr>
          <w:sz w:val="22"/>
          <w:szCs w:val="22"/>
        </w:rPr>
        <w:t>Penas:</w:t>
      </w:r>
    </w:p>
    <w:p w:rsidR="00C95397" w:rsidRPr="00A05775" w:rsidRDefault="00C95397" w:rsidP="00C95397">
      <w:pPr>
        <w:pStyle w:val="Defaul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A05775">
        <w:rPr>
          <w:rFonts w:cstheme="minorBidi"/>
          <w:color w:val="auto"/>
          <w:sz w:val="22"/>
          <w:szCs w:val="22"/>
        </w:rPr>
        <w:t>Concepto y clasificaciones.</w:t>
      </w:r>
    </w:p>
    <w:p w:rsidR="00C95397" w:rsidRPr="003515B9" w:rsidRDefault="00C95397" w:rsidP="00564F82">
      <w:pPr>
        <w:pStyle w:val="Default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3515B9">
        <w:rPr>
          <w:sz w:val="22"/>
          <w:szCs w:val="22"/>
        </w:rPr>
        <w:t xml:space="preserve">Determinación de la pena: régimen general y sistemas especiales (Ley de Control de Armas, Ley del Tránsito, Ley 20.931) </w:t>
      </w:r>
    </w:p>
    <w:p w:rsidR="00C95397" w:rsidRDefault="00C95397" w:rsidP="00C95397">
      <w:pPr>
        <w:pStyle w:val="Default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EB7B65">
        <w:rPr>
          <w:sz w:val="22"/>
          <w:szCs w:val="22"/>
        </w:rPr>
        <w:t>Causales de extinción de la responsabilidad penal.</w:t>
      </w:r>
    </w:p>
    <w:p w:rsidR="00AD4B6F" w:rsidRPr="00EB7B65" w:rsidRDefault="00AD4B6F" w:rsidP="00C95397">
      <w:pPr>
        <w:pStyle w:val="Default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Faltas</w:t>
      </w:r>
    </w:p>
    <w:p w:rsidR="00C95397" w:rsidRPr="002D0356" w:rsidRDefault="00C95397" w:rsidP="00C95397">
      <w:pPr>
        <w:pStyle w:val="Sinespaciado"/>
        <w:spacing w:line="360" w:lineRule="auto"/>
        <w:ind w:firstLine="708"/>
        <w:jc w:val="both"/>
        <w:rPr>
          <w:rFonts w:ascii="Calibri" w:eastAsia="Calibri" w:hAnsi="Calibri" w:cs="Arial"/>
          <w:b/>
          <w:color w:val="1F4E79" w:themeColor="accent1" w:themeShade="80"/>
        </w:rPr>
      </w:pPr>
      <w:r w:rsidRPr="002D0356">
        <w:rPr>
          <w:rFonts w:ascii="Calibri" w:eastAsia="Calibri" w:hAnsi="Calibri" w:cs="Arial"/>
          <w:b/>
          <w:color w:val="1F4E79" w:themeColor="accent1" w:themeShade="80"/>
        </w:rPr>
        <w:t>Lectura para toda Parte General:</w:t>
      </w:r>
    </w:p>
    <w:p w:rsidR="00C95397" w:rsidRPr="002D0356" w:rsidRDefault="00C95397" w:rsidP="00C95397">
      <w:pPr>
        <w:spacing w:after="0" w:line="360" w:lineRule="auto"/>
        <w:ind w:left="708"/>
        <w:jc w:val="both"/>
        <w:rPr>
          <w:rFonts w:ascii="Calibri" w:eastAsia="Calibri" w:hAnsi="Calibri" w:cs="Arial"/>
          <w:b/>
          <w:color w:val="1F4E79" w:themeColor="accent1" w:themeShade="80"/>
        </w:rPr>
      </w:pPr>
      <w:r w:rsidRPr="002D0356">
        <w:rPr>
          <w:rFonts w:ascii="Calibri" w:eastAsia="Calibri" w:hAnsi="Calibri" w:cs="Arial"/>
          <w:b/>
          <w:color w:val="1F4E79" w:themeColor="accent1" w:themeShade="80"/>
        </w:rPr>
        <w:t>Código Penal</w:t>
      </w:r>
      <w:r w:rsidR="00E57B8C">
        <w:rPr>
          <w:rFonts w:ascii="Calibri" w:eastAsia="Calibri" w:hAnsi="Calibri" w:cs="Arial"/>
          <w:b/>
          <w:color w:val="1F4E79" w:themeColor="accent1" w:themeShade="80"/>
        </w:rPr>
        <w:t xml:space="preserve">, </w:t>
      </w:r>
      <w:r w:rsidRPr="002D0356">
        <w:rPr>
          <w:rFonts w:ascii="Calibri" w:eastAsia="Calibri" w:hAnsi="Calibri" w:cs="Arial"/>
          <w:b/>
          <w:color w:val="1F4E79" w:themeColor="accent1" w:themeShade="80"/>
        </w:rPr>
        <w:t xml:space="preserve">Derecho Penal; Parte General; Enrique </w:t>
      </w:r>
      <w:proofErr w:type="spellStart"/>
      <w:r w:rsidRPr="002D0356">
        <w:rPr>
          <w:rFonts w:ascii="Calibri" w:eastAsia="Calibri" w:hAnsi="Calibri" w:cs="Arial"/>
          <w:b/>
          <w:color w:val="1F4E79" w:themeColor="accent1" w:themeShade="80"/>
        </w:rPr>
        <w:t>Cury</w:t>
      </w:r>
      <w:proofErr w:type="spellEnd"/>
      <w:r w:rsidRPr="002D0356">
        <w:rPr>
          <w:rFonts w:ascii="Calibri" w:eastAsia="Calibri" w:hAnsi="Calibri" w:cs="Arial"/>
          <w:b/>
          <w:color w:val="1F4E79" w:themeColor="accent1" w:themeShade="80"/>
        </w:rPr>
        <w:t xml:space="preserve"> Urzúa; Novena Edición; 2009</w:t>
      </w:r>
    </w:p>
    <w:p w:rsidR="00C95397" w:rsidRPr="00FD06FE" w:rsidRDefault="00C95397" w:rsidP="00C95397">
      <w:pPr>
        <w:pStyle w:val="Default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EB7B65">
        <w:rPr>
          <w:b/>
          <w:bCs/>
          <w:sz w:val="22"/>
          <w:szCs w:val="22"/>
          <w:u w:val="single"/>
        </w:rPr>
        <w:lastRenderedPageBreak/>
        <w:t>Derecho Penal</w:t>
      </w:r>
      <w:r w:rsidRPr="00EB7B65">
        <w:rPr>
          <w:b/>
          <w:sz w:val="22"/>
          <w:szCs w:val="22"/>
          <w:u w:val="single"/>
        </w:rPr>
        <w:t xml:space="preserve"> Parte Especial</w:t>
      </w:r>
    </w:p>
    <w:p w:rsidR="00C95397" w:rsidRPr="00710902" w:rsidRDefault="00C95397" w:rsidP="00710902">
      <w:pPr>
        <w:pStyle w:val="Default"/>
        <w:spacing w:line="360" w:lineRule="auto"/>
        <w:ind w:left="360"/>
        <w:jc w:val="both"/>
        <w:rPr>
          <w:b/>
          <w:i/>
          <w:sz w:val="22"/>
          <w:szCs w:val="22"/>
          <w:u w:val="single"/>
        </w:rPr>
      </w:pPr>
    </w:p>
    <w:p w:rsidR="00710902" w:rsidRDefault="00710902" w:rsidP="00710902">
      <w:pPr>
        <w:pStyle w:val="Defaul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710902">
        <w:rPr>
          <w:b/>
          <w:i/>
          <w:sz w:val="22"/>
          <w:szCs w:val="22"/>
          <w:u w:val="single"/>
        </w:rPr>
        <w:t>Delitos contra la</w:t>
      </w:r>
      <w:r w:rsidR="00005828">
        <w:rPr>
          <w:b/>
          <w:i/>
          <w:sz w:val="22"/>
          <w:szCs w:val="22"/>
          <w:u w:val="single"/>
        </w:rPr>
        <w:t>s personas (menos calumnias e injurias)</w:t>
      </w:r>
    </w:p>
    <w:p w:rsidR="00710902" w:rsidRPr="00EB7B65" w:rsidRDefault="00710902" w:rsidP="00710902">
      <w:pPr>
        <w:pStyle w:val="Default"/>
        <w:spacing w:line="360" w:lineRule="auto"/>
        <w:ind w:left="720"/>
        <w:jc w:val="both"/>
        <w:rPr>
          <w:sz w:val="22"/>
          <w:szCs w:val="22"/>
        </w:rPr>
      </w:pPr>
      <w:r w:rsidRPr="00EB7B65">
        <w:rPr>
          <w:sz w:val="22"/>
          <w:szCs w:val="22"/>
        </w:rPr>
        <w:t>Delitos del título VIII del Libro II del Código Penal (delitos contra las personas)</w:t>
      </w:r>
    </w:p>
    <w:p w:rsidR="00710902" w:rsidRPr="002D0356" w:rsidRDefault="00710902" w:rsidP="00710902">
      <w:pPr>
        <w:pStyle w:val="Prrafodelista"/>
        <w:spacing w:after="0" w:line="360" w:lineRule="auto"/>
        <w:jc w:val="both"/>
        <w:rPr>
          <w:rFonts w:ascii="Calibri" w:hAnsi="Calibri" w:cs="Arial"/>
          <w:b/>
          <w:color w:val="1F4E79" w:themeColor="accent1" w:themeShade="80"/>
        </w:rPr>
      </w:pPr>
      <w:r w:rsidRPr="002D0356">
        <w:rPr>
          <w:rFonts w:ascii="Calibri" w:hAnsi="Calibri" w:cs="Arial"/>
          <w:b/>
          <w:color w:val="1F4E79" w:themeColor="accent1" w:themeShade="80"/>
        </w:rPr>
        <w:t>Lectura: Delitos contra la vida humana independiente</w:t>
      </w:r>
    </w:p>
    <w:p w:rsidR="00A46FF4" w:rsidRPr="002D0356" w:rsidRDefault="00A46FF4" w:rsidP="00A46FF4">
      <w:pPr>
        <w:pStyle w:val="Prrafodelista"/>
        <w:spacing w:after="0" w:line="360" w:lineRule="auto"/>
        <w:jc w:val="both"/>
        <w:rPr>
          <w:rFonts w:ascii="Calibri" w:hAnsi="Calibri" w:cs="Arial"/>
          <w:b/>
          <w:color w:val="1F4E79" w:themeColor="accent1" w:themeShade="80"/>
        </w:rPr>
      </w:pPr>
      <w:r w:rsidRPr="002D0356">
        <w:rPr>
          <w:rFonts w:ascii="Calibri" w:hAnsi="Calibri" w:cs="Arial"/>
          <w:b/>
          <w:color w:val="1F4E79" w:themeColor="accent1" w:themeShade="80"/>
        </w:rPr>
        <w:t>Lectura: Delitos contra la salud individual (lesiones)</w:t>
      </w:r>
    </w:p>
    <w:p w:rsidR="007C0946" w:rsidRPr="002D0356" w:rsidRDefault="007C0946" w:rsidP="007C0946">
      <w:pPr>
        <w:spacing w:after="120" w:line="360" w:lineRule="auto"/>
        <w:ind w:left="709"/>
        <w:jc w:val="both"/>
        <w:rPr>
          <w:rFonts w:cs="Arial"/>
          <w:b/>
          <w:color w:val="1F4E79" w:themeColor="accent1" w:themeShade="80"/>
        </w:rPr>
      </w:pPr>
      <w:r w:rsidRPr="002D0356">
        <w:rPr>
          <w:rFonts w:cs="Arial"/>
          <w:b/>
          <w:color w:val="1F4E79" w:themeColor="accent1" w:themeShade="80"/>
        </w:rPr>
        <w:t>Lectura: Delitos contra la libertad de autodeterminación y la seguridad individual</w:t>
      </w:r>
    </w:p>
    <w:p w:rsidR="007C0946" w:rsidRPr="002D0356" w:rsidRDefault="007C0946" w:rsidP="007C0946">
      <w:pPr>
        <w:spacing w:after="120" w:line="360" w:lineRule="auto"/>
        <w:ind w:left="709"/>
        <w:jc w:val="both"/>
        <w:rPr>
          <w:b/>
          <w:color w:val="1F4E79" w:themeColor="accent1" w:themeShade="80"/>
        </w:rPr>
      </w:pPr>
      <w:proofErr w:type="spellStart"/>
      <w:r w:rsidRPr="002D0356">
        <w:rPr>
          <w:rFonts w:cs="Arial"/>
          <w:b/>
          <w:color w:val="1F4E79" w:themeColor="accent1" w:themeShade="80"/>
        </w:rPr>
        <w:t>Politoff</w:t>
      </w:r>
      <w:proofErr w:type="spellEnd"/>
      <w:r w:rsidRPr="002D0356">
        <w:rPr>
          <w:rFonts w:cs="Arial"/>
          <w:b/>
          <w:color w:val="1F4E79" w:themeColor="accent1" w:themeShade="80"/>
        </w:rPr>
        <w:t>, Matus y Ramírez</w:t>
      </w:r>
      <w:r w:rsidRPr="002D0356">
        <w:rPr>
          <w:b/>
          <w:color w:val="1F4E79" w:themeColor="accent1" w:themeShade="80"/>
        </w:rPr>
        <w:t xml:space="preserve">; </w:t>
      </w:r>
      <w:r w:rsidRPr="002D0356">
        <w:rPr>
          <w:rFonts w:cs="Arial"/>
          <w:b/>
          <w:color w:val="1F4E79" w:themeColor="accent1" w:themeShade="80"/>
        </w:rPr>
        <w:t>Lecciones de Derecho Penal Chileno, Parte General; Tomo I; Segunda Edición Actualizada; Editorial Jurídica de Chile; Santiago; 2006</w:t>
      </w:r>
    </w:p>
    <w:p w:rsidR="00655BBD" w:rsidRPr="002D0356" w:rsidRDefault="00655BBD" w:rsidP="00655BBD">
      <w:pPr>
        <w:pStyle w:val="Prrafodelista"/>
        <w:spacing w:after="0" w:line="360" w:lineRule="auto"/>
        <w:jc w:val="both"/>
        <w:rPr>
          <w:rFonts w:ascii="Calibri" w:hAnsi="Calibri" w:cs="Arial"/>
          <w:b/>
          <w:color w:val="1F4E79" w:themeColor="accent1" w:themeShade="80"/>
        </w:rPr>
      </w:pPr>
      <w:r w:rsidRPr="002D0356">
        <w:rPr>
          <w:rFonts w:ascii="Calibri" w:hAnsi="Calibri" w:cs="Arial"/>
          <w:b/>
          <w:color w:val="1F4E79" w:themeColor="accent1" w:themeShade="80"/>
        </w:rPr>
        <w:t>Lectura: Minu</w:t>
      </w:r>
      <w:r w:rsidR="00E57B8C">
        <w:rPr>
          <w:rFonts w:ascii="Calibri" w:hAnsi="Calibri" w:cs="Arial"/>
          <w:b/>
          <w:color w:val="1F4E79" w:themeColor="accent1" w:themeShade="80"/>
        </w:rPr>
        <w:t xml:space="preserve">ta “El delito de </w:t>
      </w:r>
      <w:proofErr w:type="spellStart"/>
      <w:r w:rsidR="00E57B8C">
        <w:rPr>
          <w:rFonts w:ascii="Calibri" w:hAnsi="Calibri" w:cs="Arial"/>
          <w:b/>
          <w:color w:val="1F4E79" w:themeColor="accent1" w:themeShade="80"/>
        </w:rPr>
        <w:t>femicidio</w:t>
      </w:r>
      <w:proofErr w:type="spellEnd"/>
      <w:r w:rsidR="00E57B8C">
        <w:rPr>
          <w:rFonts w:ascii="Calibri" w:hAnsi="Calibri" w:cs="Arial"/>
          <w:b/>
          <w:color w:val="1F4E79" w:themeColor="accent1" w:themeShade="80"/>
        </w:rPr>
        <w:t>”.</w:t>
      </w:r>
    </w:p>
    <w:p w:rsidR="00F61E21" w:rsidRDefault="00F61E21" w:rsidP="00F61E21">
      <w:pPr>
        <w:spacing w:after="120" w:line="360" w:lineRule="auto"/>
        <w:ind w:left="709"/>
        <w:jc w:val="both"/>
        <w:rPr>
          <w:rFonts w:cs="Arial"/>
          <w:b/>
          <w:color w:val="1F4E79" w:themeColor="accent1" w:themeShade="80"/>
        </w:rPr>
      </w:pPr>
      <w:r w:rsidRPr="002D0356">
        <w:rPr>
          <w:rFonts w:cs="Arial"/>
          <w:b/>
          <w:bCs/>
          <w:color w:val="1F4E79" w:themeColor="accent1" w:themeShade="80"/>
        </w:rPr>
        <w:t>Lectura: Ley N° 20.507 Tipifica </w:t>
      </w:r>
      <w:r w:rsidRPr="002D0356">
        <w:rPr>
          <w:rStyle w:val="solext2"/>
          <w:rFonts w:cs="Arial"/>
          <w:b/>
          <w:bCs/>
          <w:color w:val="1F4E79" w:themeColor="accent1" w:themeShade="80"/>
        </w:rPr>
        <w:t>los</w:t>
      </w:r>
      <w:r w:rsidRPr="002D0356">
        <w:rPr>
          <w:rFonts w:cs="Arial"/>
          <w:b/>
          <w:bCs/>
          <w:color w:val="1F4E79" w:themeColor="accent1" w:themeShade="80"/>
        </w:rPr>
        <w:t> delitos de tráfico ilícito de migrantes y trata de personas y establece normas para su prevención y más efectiva persecución criminal N°5/2011/Agosto. Minuta - Departamento de Estudios - Defensoría Nacional</w:t>
      </w:r>
      <w:r w:rsidR="00E57B8C">
        <w:rPr>
          <w:rFonts w:cs="Arial"/>
          <w:b/>
          <w:color w:val="1F4E79" w:themeColor="accent1" w:themeShade="80"/>
        </w:rPr>
        <w:t>.</w:t>
      </w:r>
    </w:p>
    <w:p w:rsidR="00E57B8C" w:rsidRPr="002D0356" w:rsidRDefault="00E57B8C" w:rsidP="00F61E21">
      <w:pPr>
        <w:spacing w:after="120" w:line="360" w:lineRule="auto"/>
        <w:ind w:left="709"/>
        <w:jc w:val="both"/>
        <w:rPr>
          <w:rFonts w:cs="Arial"/>
          <w:b/>
          <w:color w:val="1F4E79" w:themeColor="accent1" w:themeShade="80"/>
        </w:rPr>
      </w:pPr>
      <w:hyperlink r:id="rId9" w:history="1">
        <w:r>
          <w:rPr>
            <w:rStyle w:val="Hipervnculo"/>
          </w:rPr>
          <w:t>https://www.dropbox.com/sh/y17h449a8cwh6dw/AAC3eGDcOQ9O83cz80tdPOK0a?dl=0</w:t>
        </w:r>
      </w:hyperlink>
    </w:p>
    <w:p w:rsidR="00710902" w:rsidRDefault="00710902" w:rsidP="00C95397">
      <w:pPr>
        <w:pStyle w:val="Defaul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710902">
        <w:rPr>
          <w:b/>
          <w:i/>
          <w:sz w:val="22"/>
          <w:szCs w:val="22"/>
          <w:u w:val="single"/>
        </w:rPr>
        <w:t>Delitos contra la propiedad y el patrimonio</w:t>
      </w:r>
    </w:p>
    <w:p w:rsidR="00710902" w:rsidRPr="00EB7B65" w:rsidRDefault="00710902" w:rsidP="00710902">
      <w:pPr>
        <w:pStyle w:val="Default"/>
        <w:spacing w:line="360" w:lineRule="auto"/>
        <w:ind w:left="720"/>
        <w:jc w:val="both"/>
        <w:rPr>
          <w:sz w:val="22"/>
          <w:szCs w:val="22"/>
        </w:rPr>
      </w:pPr>
      <w:r w:rsidRPr="00EB7B65">
        <w:rPr>
          <w:sz w:val="22"/>
          <w:szCs w:val="22"/>
        </w:rPr>
        <w:t>Delitos del título IX del Libro II del Código Penal (delitos contra la propiedad), salvo delitos concursales.</w:t>
      </w:r>
    </w:p>
    <w:p w:rsidR="00710902" w:rsidRPr="002D0356" w:rsidRDefault="00710902" w:rsidP="00710902">
      <w:pPr>
        <w:pStyle w:val="Prrafodelista"/>
        <w:spacing w:after="0" w:line="360" w:lineRule="auto"/>
        <w:jc w:val="both"/>
        <w:rPr>
          <w:rFonts w:ascii="Calibri" w:hAnsi="Calibri" w:cs="Arial"/>
          <w:b/>
          <w:color w:val="1F4E79" w:themeColor="accent1" w:themeShade="80"/>
        </w:rPr>
      </w:pPr>
      <w:r w:rsidRPr="002D0356">
        <w:rPr>
          <w:rFonts w:ascii="Calibri" w:hAnsi="Calibri" w:cs="Arial"/>
          <w:b/>
          <w:color w:val="1F4E79" w:themeColor="accent1" w:themeShade="80"/>
        </w:rPr>
        <w:t>Lectura: Delitos contra la propiedad y el patrimonio y delitos de enriquecimiento por apoderamiento, sin violencia: hurtos</w:t>
      </w:r>
    </w:p>
    <w:p w:rsidR="00710902" w:rsidRPr="002D0356" w:rsidRDefault="00710902" w:rsidP="00710902">
      <w:pPr>
        <w:spacing w:after="0" w:line="360" w:lineRule="auto"/>
        <w:ind w:left="708" w:hanging="3"/>
        <w:jc w:val="both"/>
        <w:rPr>
          <w:rFonts w:ascii="Calibri" w:hAnsi="Calibri" w:cs="Arial"/>
          <w:b/>
          <w:color w:val="1F4E79" w:themeColor="accent1" w:themeShade="80"/>
        </w:rPr>
      </w:pPr>
      <w:r w:rsidRPr="002D0356">
        <w:rPr>
          <w:rFonts w:ascii="Calibri" w:hAnsi="Calibri" w:cs="Arial"/>
          <w:b/>
          <w:color w:val="1F4E79" w:themeColor="accent1" w:themeShade="80"/>
        </w:rPr>
        <w:t>Lectura: Delitos de apoderamiento sin violencia, con peligro para las personas: Robo con fuerza en las cosas</w:t>
      </w:r>
    </w:p>
    <w:p w:rsidR="00710902" w:rsidRPr="002D0356" w:rsidRDefault="00710902" w:rsidP="00710902">
      <w:pPr>
        <w:spacing w:after="0" w:line="360" w:lineRule="auto"/>
        <w:ind w:left="708" w:hanging="3"/>
        <w:jc w:val="both"/>
        <w:rPr>
          <w:rFonts w:ascii="Calibri" w:hAnsi="Calibri" w:cs="Arial"/>
          <w:b/>
          <w:color w:val="1F4E79" w:themeColor="accent1" w:themeShade="80"/>
        </w:rPr>
      </w:pPr>
      <w:r w:rsidRPr="002D0356">
        <w:rPr>
          <w:rFonts w:ascii="Calibri" w:hAnsi="Calibri" w:cs="Arial"/>
          <w:b/>
          <w:color w:val="1F4E79" w:themeColor="accent1" w:themeShade="80"/>
        </w:rPr>
        <w:t>Lectura: Delitos de enriquecimiento por apoderamiento, con peligro o daño de la vida, salud o seguridad de las personas: Robo con violencia o intimidación</w:t>
      </w:r>
    </w:p>
    <w:p w:rsidR="00710902" w:rsidRPr="002D0356" w:rsidRDefault="00710902" w:rsidP="00710902">
      <w:pPr>
        <w:spacing w:after="0" w:line="360" w:lineRule="auto"/>
        <w:ind w:left="708" w:hanging="3"/>
        <w:jc w:val="both"/>
        <w:rPr>
          <w:rFonts w:ascii="Calibri" w:hAnsi="Calibri" w:cs="Arial"/>
          <w:b/>
          <w:color w:val="1F4E79" w:themeColor="accent1" w:themeShade="80"/>
        </w:rPr>
      </w:pPr>
      <w:r w:rsidRPr="002D0356">
        <w:rPr>
          <w:rFonts w:ascii="Calibri" w:hAnsi="Calibri" w:cs="Arial"/>
          <w:b/>
          <w:color w:val="1F4E79" w:themeColor="accent1" w:themeShade="80"/>
        </w:rPr>
        <w:t>Lectura: Disposiciones comunes a los delitos de hurto y robo</w:t>
      </w:r>
    </w:p>
    <w:p w:rsidR="009A44B3" w:rsidRPr="002D0356" w:rsidRDefault="009A44B3" w:rsidP="00710902">
      <w:pPr>
        <w:spacing w:after="0" w:line="360" w:lineRule="auto"/>
        <w:ind w:left="708" w:hanging="3"/>
        <w:jc w:val="both"/>
        <w:rPr>
          <w:rFonts w:ascii="Calibri" w:hAnsi="Calibri" w:cs="Arial"/>
          <w:b/>
          <w:color w:val="1F4E79" w:themeColor="accent1" w:themeShade="80"/>
        </w:rPr>
      </w:pPr>
      <w:r w:rsidRPr="002D0356">
        <w:rPr>
          <w:rFonts w:ascii="Calibri" w:hAnsi="Calibri" w:cs="Arial"/>
          <w:b/>
          <w:color w:val="1F4E79" w:themeColor="accent1" w:themeShade="80"/>
        </w:rPr>
        <w:t>Lectura: Delitos de enriquecimiento por ocupación y usurpación de propiedades y derechos inmuebles, y de derechos reales de aprovechamiento de aguas</w:t>
      </w:r>
    </w:p>
    <w:p w:rsidR="009A44B3" w:rsidRPr="002D0356" w:rsidRDefault="009A44B3" w:rsidP="00710902">
      <w:pPr>
        <w:spacing w:after="0" w:line="360" w:lineRule="auto"/>
        <w:ind w:left="708" w:hanging="3"/>
        <w:jc w:val="both"/>
        <w:rPr>
          <w:rFonts w:ascii="Calibri" w:hAnsi="Calibri" w:cs="Arial"/>
          <w:b/>
          <w:color w:val="1F4E79" w:themeColor="accent1" w:themeShade="80"/>
        </w:rPr>
      </w:pPr>
      <w:r w:rsidRPr="002D0356">
        <w:rPr>
          <w:rFonts w:ascii="Calibri" w:hAnsi="Calibri" w:cs="Arial"/>
          <w:b/>
          <w:color w:val="1F4E79" w:themeColor="accent1" w:themeShade="80"/>
        </w:rPr>
        <w:t>Lectura: Delitos de enriquecimiento por defraudación: estafas y otros engaños</w:t>
      </w:r>
    </w:p>
    <w:p w:rsidR="009A44B3" w:rsidRPr="002D0356" w:rsidRDefault="009A44B3" w:rsidP="009A44B3">
      <w:pPr>
        <w:spacing w:after="0" w:line="360" w:lineRule="auto"/>
        <w:ind w:left="708" w:hanging="3"/>
        <w:jc w:val="both"/>
        <w:rPr>
          <w:rFonts w:ascii="Calibri" w:hAnsi="Calibri" w:cs="Arial"/>
          <w:b/>
          <w:color w:val="1F4E79" w:themeColor="accent1" w:themeShade="80"/>
        </w:rPr>
      </w:pPr>
      <w:r w:rsidRPr="002D0356">
        <w:rPr>
          <w:rFonts w:ascii="Calibri" w:hAnsi="Calibri" w:cs="Arial"/>
          <w:b/>
          <w:color w:val="1F4E79" w:themeColor="accent1" w:themeShade="80"/>
        </w:rPr>
        <w:t>Lectura: Delitos contra la destrucción contra la propiedad y el patrimonio</w:t>
      </w:r>
    </w:p>
    <w:p w:rsidR="00710902" w:rsidRPr="002D0356" w:rsidRDefault="00710902" w:rsidP="00710902">
      <w:pPr>
        <w:pStyle w:val="Prrafodelista"/>
        <w:spacing w:after="0" w:line="360" w:lineRule="auto"/>
        <w:jc w:val="both"/>
        <w:rPr>
          <w:rFonts w:ascii="Calibri" w:hAnsi="Calibri"/>
          <w:b/>
          <w:color w:val="1F4E79" w:themeColor="accent1" w:themeShade="80"/>
        </w:rPr>
      </w:pPr>
      <w:proofErr w:type="spellStart"/>
      <w:r w:rsidRPr="002D0356">
        <w:rPr>
          <w:rFonts w:ascii="Calibri" w:hAnsi="Calibri" w:cs="Arial"/>
          <w:b/>
          <w:color w:val="1F4E79" w:themeColor="accent1" w:themeShade="80"/>
        </w:rPr>
        <w:t>Politoff</w:t>
      </w:r>
      <w:proofErr w:type="spellEnd"/>
      <w:r w:rsidRPr="002D0356">
        <w:rPr>
          <w:rFonts w:ascii="Calibri" w:hAnsi="Calibri" w:cs="Arial"/>
          <w:b/>
          <w:color w:val="1F4E79" w:themeColor="accent1" w:themeShade="80"/>
        </w:rPr>
        <w:t>, Matus y Ramírez</w:t>
      </w:r>
      <w:r w:rsidRPr="002D0356">
        <w:rPr>
          <w:rFonts w:ascii="Calibri" w:hAnsi="Calibri"/>
          <w:b/>
          <w:color w:val="1F4E79" w:themeColor="accent1" w:themeShade="80"/>
        </w:rPr>
        <w:t xml:space="preserve">; </w:t>
      </w:r>
      <w:r w:rsidRPr="002D0356">
        <w:rPr>
          <w:rFonts w:ascii="Calibri" w:hAnsi="Calibri" w:cs="Arial"/>
          <w:b/>
          <w:color w:val="1F4E79" w:themeColor="accent1" w:themeShade="80"/>
        </w:rPr>
        <w:t>Lecciones de Derecho Penal Chileno, Parte Especial; Segunda Edición Actualizada; Editorial Jurídica de Chile; Santiago; 2006</w:t>
      </w:r>
    </w:p>
    <w:p w:rsidR="00710902" w:rsidRDefault="00710902" w:rsidP="00710902">
      <w:pPr>
        <w:spacing w:after="0" w:line="360" w:lineRule="auto"/>
        <w:ind w:left="708" w:hanging="3"/>
        <w:jc w:val="both"/>
        <w:rPr>
          <w:rFonts w:ascii="Calibri" w:hAnsi="Calibri" w:cs="Arial"/>
          <w:b/>
          <w:color w:val="1F4E79" w:themeColor="accent1" w:themeShade="80"/>
        </w:rPr>
      </w:pPr>
      <w:r w:rsidRPr="002D0356">
        <w:rPr>
          <w:rFonts w:ascii="Calibri" w:hAnsi="Calibri" w:cs="Arial"/>
          <w:b/>
          <w:color w:val="1F4E79" w:themeColor="accent1" w:themeShade="80"/>
        </w:rPr>
        <w:t xml:space="preserve"> “Minuta sobre las modificaciones introducidas por la Ley 20.931, denominada “Ley de Agenda Corta”; Departamento de Estudio</w:t>
      </w:r>
      <w:r w:rsidR="00E57B8C">
        <w:rPr>
          <w:rFonts w:ascii="Calibri" w:hAnsi="Calibri" w:cs="Arial"/>
          <w:b/>
          <w:color w:val="1F4E79" w:themeColor="accent1" w:themeShade="80"/>
        </w:rPr>
        <w:t xml:space="preserve">s; Defensoría Penal Pública. </w:t>
      </w:r>
    </w:p>
    <w:p w:rsidR="00E57B8C" w:rsidRPr="002D0356" w:rsidRDefault="00E57B8C" w:rsidP="00710902">
      <w:pPr>
        <w:spacing w:after="0" w:line="360" w:lineRule="auto"/>
        <w:ind w:left="708" w:hanging="3"/>
        <w:jc w:val="both"/>
        <w:rPr>
          <w:rStyle w:val="Hipervnculo"/>
          <w:rFonts w:ascii="Calibri" w:hAnsi="Calibri" w:cs="Arial"/>
          <w:b/>
          <w:color w:val="1F4E79" w:themeColor="accent1" w:themeShade="80"/>
        </w:rPr>
      </w:pPr>
      <w:hyperlink r:id="rId10" w:history="1">
        <w:r>
          <w:rPr>
            <w:rStyle w:val="Hipervnculo"/>
          </w:rPr>
          <w:t>https://www.dropbox.com/sh/y17h449a8cwh6dw/AAC3eGDcOQ9O83cz80tdPOK0a?dl=0</w:t>
        </w:r>
      </w:hyperlink>
    </w:p>
    <w:p w:rsidR="009A44B3" w:rsidRDefault="009A44B3" w:rsidP="00C95397">
      <w:pPr>
        <w:pStyle w:val="Defaul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9A44B3">
        <w:rPr>
          <w:b/>
          <w:i/>
          <w:sz w:val="22"/>
          <w:szCs w:val="22"/>
          <w:u w:val="single"/>
        </w:rPr>
        <w:t>Delitos de coacción y contra la libertad e intimidad de las personas</w:t>
      </w:r>
    </w:p>
    <w:p w:rsidR="00197415" w:rsidRDefault="00197415" w:rsidP="009A44B3">
      <w:pPr>
        <w:pStyle w:val="Default"/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Crímenes y simples d</w:t>
      </w:r>
      <w:r w:rsidR="00C95397">
        <w:rPr>
          <w:sz w:val="22"/>
          <w:szCs w:val="22"/>
        </w:rPr>
        <w:t xml:space="preserve">elitos </w:t>
      </w:r>
      <w:r>
        <w:rPr>
          <w:sz w:val="22"/>
          <w:szCs w:val="22"/>
        </w:rPr>
        <w:t xml:space="preserve">contra la libertad y seguridad, cometidos por particulares, </w:t>
      </w:r>
      <w:r w:rsidR="00C95397">
        <w:rPr>
          <w:sz w:val="22"/>
          <w:szCs w:val="22"/>
        </w:rPr>
        <w:t xml:space="preserve">del </w:t>
      </w:r>
      <w:r>
        <w:rPr>
          <w:sz w:val="22"/>
          <w:szCs w:val="22"/>
        </w:rPr>
        <w:t xml:space="preserve">párrafo 3 del </w:t>
      </w:r>
      <w:r w:rsidR="00C95397">
        <w:rPr>
          <w:sz w:val="22"/>
          <w:szCs w:val="22"/>
        </w:rPr>
        <w:t>título III del Libro II del Código Penal</w:t>
      </w:r>
      <w:r>
        <w:rPr>
          <w:sz w:val="22"/>
          <w:szCs w:val="22"/>
        </w:rPr>
        <w:t>.</w:t>
      </w:r>
    </w:p>
    <w:p w:rsidR="00197415" w:rsidRDefault="00197415" w:rsidP="009A44B3">
      <w:pPr>
        <w:pStyle w:val="Default"/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De los agravios inferidos por funcionarios público a los derechos garantizados por la Constitución, del párrafo 4 del título II del Libro III del Código Penal.</w:t>
      </w:r>
    </w:p>
    <w:p w:rsidR="00197415" w:rsidRDefault="00197415" w:rsidP="009A44B3">
      <w:pPr>
        <w:pStyle w:val="Default"/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De los delitos contra el respeto y protección a la vida privada y pública de la persona y su familia, del párrafo 5 del título III del Libro II del Código Penal.</w:t>
      </w:r>
    </w:p>
    <w:p w:rsidR="00197415" w:rsidRDefault="00197415" w:rsidP="009A44B3">
      <w:pPr>
        <w:pStyle w:val="Default"/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Atentados y amenazas contra fiscales del Ministerio Público y defensores penales públicos del párrafo 1 bis del </w:t>
      </w:r>
      <w:r w:rsidR="00942912">
        <w:rPr>
          <w:sz w:val="22"/>
          <w:szCs w:val="22"/>
        </w:rPr>
        <w:t>título VI del Libro II del Código Penal</w:t>
      </w:r>
      <w:r>
        <w:rPr>
          <w:sz w:val="22"/>
          <w:szCs w:val="22"/>
        </w:rPr>
        <w:t>.</w:t>
      </w:r>
    </w:p>
    <w:p w:rsidR="00197415" w:rsidRDefault="00197415" w:rsidP="009A44B3">
      <w:pPr>
        <w:pStyle w:val="Default"/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De las amenazas de atentado contra las personas y propiedades del párrafo 11 del título VI del Libro II del Código Penal.</w:t>
      </w:r>
    </w:p>
    <w:p w:rsidR="00942912" w:rsidRPr="002D0356" w:rsidRDefault="00942912" w:rsidP="00942912">
      <w:pPr>
        <w:pStyle w:val="Prrafodelista"/>
        <w:spacing w:after="0" w:line="360" w:lineRule="auto"/>
        <w:jc w:val="both"/>
        <w:rPr>
          <w:rFonts w:ascii="Calibri" w:hAnsi="Calibri" w:cs="Arial"/>
          <w:b/>
          <w:color w:val="1F4E79" w:themeColor="accent1" w:themeShade="80"/>
        </w:rPr>
      </w:pPr>
      <w:r w:rsidRPr="002D0356">
        <w:rPr>
          <w:rFonts w:ascii="Calibri" w:hAnsi="Calibri" w:cs="Arial"/>
          <w:b/>
          <w:color w:val="1F4E79" w:themeColor="accent1" w:themeShade="80"/>
        </w:rPr>
        <w:t>Lectura: Delitos contra la libertad de autodeterminación y la seguridad individual</w:t>
      </w:r>
    </w:p>
    <w:p w:rsidR="00942912" w:rsidRPr="002D0356" w:rsidRDefault="00942912" w:rsidP="00942912">
      <w:pPr>
        <w:pStyle w:val="Prrafodelista"/>
        <w:spacing w:after="0" w:line="360" w:lineRule="auto"/>
        <w:jc w:val="both"/>
        <w:rPr>
          <w:rFonts w:ascii="Calibri" w:hAnsi="Calibri" w:cs="Arial"/>
          <w:b/>
          <w:color w:val="1F4E79" w:themeColor="accent1" w:themeShade="80"/>
        </w:rPr>
      </w:pPr>
      <w:r w:rsidRPr="002D0356">
        <w:rPr>
          <w:rFonts w:ascii="Calibri" w:hAnsi="Calibri" w:cs="Arial"/>
          <w:b/>
          <w:color w:val="1F4E79" w:themeColor="accent1" w:themeShade="80"/>
        </w:rPr>
        <w:t>Lectura: Delitos contra la libertad ambulatoria y la seguridad individual</w:t>
      </w:r>
    </w:p>
    <w:p w:rsidR="00942912" w:rsidRPr="002D0356" w:rsidRDefault="00942912" w:rsidP="00942912">
      <w:pPr>
        <w:pStyle w:val="Prrafodelista"/>
        <w:spacing w:after="0" w:line="360" w:lineRule="auto"/>
        <w:jc w:val="both"/>
        <w:rPr>
          <w:rFonts w:ascii="Calibri" w:hAnsi="Calibri"/>
          <w:b/>
          <w:color w:val="1F4E79" w:themeColor="accent1" w:themeShade="80"/>
        </w:rPr>
      </w:pPr>
      <w:proofErr w:type="spellStart"/>
      <w:r w:rsidRPr="002D0356">
        <w:rPr>
          <w:rFonts w:ascii="Calibri" w:hAnsi="Calibri" w:cs="Arial"/>
          <w:b/>
          <w:color w:val="1F4E79" w:themeColor="accent1" w:themeShade="80"/>
        </w:rPr>
        <w:t>Politoff</w:t>
      </w:r>
      <w:proofErr w:type="spellEnd"/>
      <w:r w:rsidRPr="002D0356">
        <w:rPr>
          <w:rFonts w:ascii="Calibri" w:hAnsi="Calibri" w:cs="Arial"/>
          <w:b/>
          <w:color w:val="1F4E79" w:themeColor="accent1" w:themeShade="80"/>
        </w:rPr>
        <w:t>, Matus y Ramírez</w:t>
      </w:r>
      <w:r w:rsidRPr="002D0356">
        <w:rPr>
          <w:rFonts w:ascii="Calibri" w:hAnsi="Calibri"/>
          <w:b/>
          <w:color w:val="1F4E79" w:themeColor="accent1" w:themeShade="80"/>
        </w:rPr>
        <w:t xml:space="preserve">; </w:t>
      </w:r>
      <w:r w:rsidRPr="002D0356">
        <w:rPr>
          <w:rFonts w:ascii="Calibri" w:hAnsi="Calibri" w:cs="Arial"/>
          <w:b/>
          <w:color w:val="1F4E79" w:themeColor="accent1" w:themeShade="80"/>
        </w:rPr>
        <w:t>Lecciones de Derecho Penal Chileno, Parte Especial; Segunda Edición Actualizada; Editorial Jurídica de Chile; Santiago; 2006</w:t>
      </w:r>
    </w:p>
    <w:p w:rsidR="00C95397" w:rsidRPr="002D0356" w:rsidRDefault="00942912" w:rsidP="00C95397">
      <w:pPr>
        <w:pStyle w:val="Default"/>
        <w:spacing w:line="360" w:lineRule="auto"/>
        <w:ind w:left="720"/>
        <w:jc w:val="both"/>
        <w:rPr>
          <w:b/>
          <w:color w:val="1F4E79" w:themeColor="accent1" w:themeShade="80"/>
          <w:sz w:val="22"/>
          <w:szCs w:val="22"/>
        </w:rPr>
      </w:pPr>
      <w:r w:rsidRPr="002D0356">
        <w:rPr>
          <w:b/>
          <w:color w:val="1F4E79" w:themeColor="accent1" w:themeShade="80"/>
          <w:sz w:val="22"/>
          <w:szCs w:val="22"/>
        </w:rPr>
        <w:t>Lectura: Protección Penal de la Integridad Física y Psíquica de la Persona (II). Delitos de tortura y otros tratos crueles, inhumanos y degradantes</w:t>
      </w:r>
    </w:p>
    <w:p w:rsidR="00942912" w:rsidRPr="002D0356" w:rsidRDefault="00942912" w:rsidP="00942912">
      <w:pPr>
        <w:pStyle w:val="Sinespaciado"/>
        <w:spacing w:line="360" w:lineRule="auto"/>
        <w:ind w:left="708"/>
        <w:jc w:val="both"/>
        <w:rPr>
          <w:rFonts w:ascii="Calibri" w:hAnsi="Calibri"/>
          <w:b/>
          <w:color w:val="1F4E79" w:themeColor="accent1" w:themeShade="80"/>
        </w:rPr>
      </w:pPr>
      <w:r w:rsidRPr="002D0356">
        <w:rPr>
          <w:rFonts w:ascii="Calibri" w:hAnsi="Calibri"/>
          <w:b/>
          <w:color w:val="1F4E79" w:themeColor="accent1" w:themeShade="80"/>
        </w:rPr>
        <w:t xml:space="preserve">Matus Acuña, Jean Pierre y Ramírez Guzmán, María Cecilia; “Manuela de Derecho Penal Chileno”; Parte Especial; Editorial </w:t>
      </w:r>
      <w:proofErr w:type="spellStart"/>
      <w:r w:rsidRPr="002D0356">
        <w:rPr>
          <w:rFonts w:ascii="Calibri" w:hAnsi="Calibri"/>
          <w:b/>
          <w:color w:val="1F4E79" w:themeColor="accent1" w:themeShade="80"/>
        </w:rPr>
        <w:t>Turant</w:t>
      </w:r>
      <w:proofErr w:type="spellEnd"/>
      <w:r w:rsidRPr="002D0356">
        <w:rPr>
          <w:rFonts w:ascii="Calibri" w:hAnsi="Calibri"/>
          <w:b/>
          <w:color w:val="1F4E79" w:themeColor="accent1" w:themeShade="80"/>
        </w:rPr>
        <w:t xml:space="preserve"> lo Blanch; Valencia; 2017</w:t>
      </w:r>
    </w:p>
    <w:p w:rsidR="00942912" w:rsidRPr="00942912" w:rsidRDefault="00942912" w:rsidP="00C95397">
      <w:pPr>
        <w:pStyle w:val="Default"/>
        <w:numPr>
          <w:ilvl w:val="0"/>
          <w:numId w:val="5"/>
        </w:numPr>
        <w:spacing w:line="360" w:lineRule="auto"/>
        <w:jc w:val="both"/>
        <w:rPr>
          <w:b/>
          <w:i/>
          <w:sz w:val="22"/>
          <w:szCs w:val="22"/>
          <w:u w:val="single"/>
        </w:rPr>
      </w:pPr>
      <w:r w:rsidRPr="00942912">
        <w:rPr>
          <w:b/>
          <w:i/>
          <w:sz w:val="22"/>
          <w:szCs w:val="22"/>
          <w:u w:val="single"/>
        </w:rPr>
        <w:t>Delitos funcionarios</w:t>
      </w:r>
    </w:p>
    <w:p w:rsidR="00C95397" w:rsidRPr="00EB7B65" w:rsidRDefault="00C95397" w:rsidP="00942912">
      <w:pPr>
        <w:pStyle w:val="Default"/>
        <w:spacing w:line="360" w:lineRule="auto"/>
        <w:ind w:left="720"/>
        <w:jc w:val="both"/>
        <w:rPr>
          <w:sz w:val="22"/>
          <w:szCs w:val="22"/>
        </w:rPr>
      </w:pPr>
      <w:r w:rsidRPr="00EB7B65">
        <w:rPr>
          <w:sz w:val="22"/>
          <w:szCs w:val="22"/>
        </w:rPr>
        <w:t>D</w:t>
      </w:r>
      <w:r w:rsidR="00246FCC">
        <w:rPr>
          <w:sz w:val="22"/>
          <w:szCs w:val="22"/>
        </w:rPr>
        <w:t xml:space="preserve">e los crímenes y simples delitos cometidos por empleados públicos en el desempeño de sus cargos, del </w:t>
      </w:r>
      <w:r w:rsidRPr="00EB7B65">
        <w:rPr>
          <w:sz w:val="22"/>
          <w:szCs w:val="22"/>
        </w:rPr>
        <w:t>título V del Libro II del Código Penal</w:t>
      </w:r>
      <w:r w:rsidR="00246FCC">
        <w:rPr>
          <w:sz w:val="22"/>
          <w:szCs w:val="22"/>
        </w:rPr>
        <w:t>.</w:t>
      </w:r>
    </w:p>
    <w:p w:rsidR="00C95397" w:rsidRPr="002D0356" w:rsidRDefault="00C95397" w:rsidP="00C95397">
      <w:pPr>
        <w:pStyle w:val="Prrafodelista"/>
        <w:spacing w:after="0" w:line="360" w:lineRule="auto"/>
        <w:jc w:val="both"/>
        <w:rPr>
          <w:rFonts w:ascii="Calibri" w:hAnsi="Calibri" w:cs="Arial"/>
          <w:b/>
          <w:color w:val="1F4E79" w:themeColor="accent1" w:themeShade="80"/>
        </w:rPr>
      </w:pPr>
      <w:r w:rsidRPr="002D0356">
        <w:rPr>
          <w:rFonts w:ascii="Calibri" w:hAnsi="Calibri" w:cs="Arial"/>
          <w:b/>
          <w:color w:val="1F4E79" w:themeColor="accent1" w:themeShade="80"/>
        </w:rPr>
        <w:t>Lectura: Delitos cometidos por los empleados públicos en el desempeño de sus cargos que afectan la probidad administrativa.</w:t>
      </w:r>
    </w:p>
    <w:p w:rsidR="00C95397" w:rsidRPr="002D0356" w:rsidRDefault="00C95397" w:rsidP="00C95397">
      <w:pPr>
        <w:pStyle w:val="Prrafodelista"/>
        <w:spacing w:after="0" w:line="360" w:lineRule="auto"/>
        <w:jc w:val="both"/>
        <w:rPr>
          <w:rFonts w:ascii="Calibri" w:hAnsi="Calibri" w:cs="Arial"/>
          <w:b/>
          <w:color w:val="1F4E79" w:themeColor="accent1" w:themeShade="80"/>
        </w:rPr>
      </w:pPr>
      <w:r w:rsidRPr="002D0356">
        <w:rPr>
          <w:rFonts w:ascii="Calibri" w:hAnsi="Calibri" w:cs="Arial"/>
          <w:b/>
          <w:color w:val="1F4E79" w:themeColor="accent1" w:themeShade="80"/>
        </w:rPr>
        <w:t>Lectura: Delitos cometidos por los empleados públicos en el desempeño de sus cargos que afectan la confianza pública depositada en los funcionarios públicos.</w:t>
      </w:r>
    </w:p>
    <w:p w:rsidR="00C95397" w:rsidRPr="002D0356" w:rsidRDefault="00C95397" w:rsidP="00C95397">
      <w:pPr>
        <w:pStyle w:val="Prrafodelista"/>
        <w:spacing w:after="0" w:line="360" w:lineRule="auto"/>
        <w:jc w:val="both"/>
        <w:rPr>
          <w:rFonts w:ascii="Calibri" w:hAnsi="Calibri" w:cs="Arial"/>
          <w:b/>
          <w:color w:val="1F4E79" w:themeColor="accent1" w:themeShade="80"/>
        </w:rPr>
      </w:pPr>
      <w:r w:rsidRPr="002D0356">
        <w:rPr>
          <w:rFonts w:ascii="Calibri" w:hAnsi="Calibri" w:cs="Arial"/>
          <w:b/>
          <w:color w:val="1F4E79" w:themeColor="accent1" w:themeShade="80"/>
        </w:rPr>
        <w:t>Lectura: Delitos cometidos por funcionarios públicos en el desempeño de sus cargos que afectan el buen funcionamiento de la administración</w:t>
      </w:r>
    </w:p>
    <w:p w:rsidR="00C95397" w:rsidRPr="002D0356" w:rsidRDefault="00C95397" w:rsidP="00C95397">
      <w:pPr>
        <w:pStyle w:val="Prrafodelista"/>
        <w:spacing w:after="0" w:line="360" w:lineRule="auto"/>
        <w:jc w:val="both"/>
        <w:rPr>
          <w:rFonts w:ascii="Calibri" w:hAnsi="Calibri" w:cs="Arial"/>
          <w:b/>
          <w:color w:val="1F4E79" w:themeColor="accent1" w:themeShade="80"/>
        </w:rPr>
      </w:pPr>
      <w:r w:rsidRPr="002D0356">
        <w:rPr>
          <w:rFonts w:ascii="Calibri" w:hAnsi="Calibri" w:cs="Arial"/>
          <w:b/>
          <w:color w:val="1F4E79" w:themeColor="accent1" w:themeShade="80"/>
        </w:rPr>
        <w:t>Lectura: Delitos contra la recta administración de justicia y la fe pública cometidos por magistrados, abogados y otros funcionarios públicos</w:t>
      </w:r>
    </w:p>
    <w:p w:rsidR="00C95397" w:rsidRPr="002D0356" w:rsidRDefault="00C95397" w:rsidP="00C95397">
      <w:pPr>
        <w:pStyle w:val="Prrafodelista"/>
        <w:spacing w:after="0" w:line="360" w:lineRule="auto"/>
        <w:jc w:val="both"/>
        <w:rPr>
          <w:rFonts w:ascii="Calibri" w:hAnsi="Calibri" w:cs="Arial"/>
          <w:color w:val="1F4E79" w:themeColor="accent1" w:themeShade="80"/>
        </w:rPr>
      </w:pPr>
      <w:proofErr w:type="spellStart"/>
      <w:r w:rsidRPr="002D0356">
        <w:rPr>
          <w:rFonts w:ascii="Calibri" w:hAnsi="Calibri" w:cs="Arial"/>
          <w:b/>
          <w:color w:val="1F4E79" w:themeColor="accent1" w:themeShade="80"/>
        </w:rPr>
        <w:t>Politoff</w:t>
      </w:r>
      <w:proofErr w:type="spellEnd"/>
      <w:r w:rsidRPr="002D0356">
        <w:rPr>
          <w:rFonts w:ascii="Calibri" w:hAnsi="Calibri" w:cs="Arial"/>
          <w:b/>
          <w:color w:val="1F4E79" w:themeColor="accent1" w:themeShade="80"/>
        </w:rPr>
        <w:t>, Matus y Ramírez</w:t>
      </w:r>
      <w:r w:rsidRPr="002D0356">
        <w:rPr>
          <w:rFonts w:ascii="Calibri" w:hAnsi="Calibri"/>
          <w:b/>
          <w:color w:val="1F4E79" w:themeColor="accent1" w:themeShade="80"/>
        </w:rPr>
        <w:t xml:space="preserve">; </w:t>
      </w:r>
      <w:r w:rsidRPr="002D0356">
        <w:rPr>
          <w:rFonts w:ascii="Calibri" w:hAnsi="Calibri" w:cs="Arial"/>
          <w:b/>
          <w:color w:val="1F4E79" w:themeColor="accent1" w:themeShade="80"/>
        </w:rPr>
        <w:t>Lecciones de Derecho Penal Chileno, Parte Especial; Segunda Edición Actualizada; Editorial Jurídica de Chile; Santiago; 2006</w:t>
      </w:r>
    </w:p>
    <w:p w:rsidR="00C95397" w:rsidRPr="002D0356" w:rsidRDefault="00C95397" w:rsidP="00C95397">
      <w:pPr>
        <w:pStyle w:val="Prrafodelista"/>
        <w:spacing w:after="0" w:line="360" w:lineRule="auto"/>
        <w:jc w:val="both"/>
        <w:rPr>
          <w:rFonts w:ascii="Calibri" w:hAnsi="Calibri" w:cs="Arial"/>
          <w:b/>
          <w:color w:val="1F4E79" w:themeColor="accent1" w:themeShade="80"/>
        </w:rPr>
      </w:pPr>
      <w:r w:rsidRPr="002D0356">
        <w:rPr>
          <w:rFonts w:ascii="Calibri" w:hAnsi="Calibri" w:cs="Arial"/>
          <w:b/>
          <w:color w:val="1F4E79" w:themeColor="accent1" w:themeShade="80"/>
        </w:rPr>
        <w:t>Lectura: delitos de falsedad</w:t>
      </w:r>
    </w:p>
    <w:p w:rsidR="00C95397" w:rsidRPr="002D0356" w:rsidRDefault="00C95397" w:rsidP="00C95397">
      <w:pPr>
        <w:pStyle w:val="Textonotapie"/>
        <w:spacing w:line="360" w:lineRule="auto"/>
        <w:ind w:left="720"/>
        <w:jc w:val="both"/>
        <w:rPr>
          <w:rFonts w:ascii="Calibri" w:hAnsi="Calibri" w:cs="Arial"/>
          <w:bCs/>
          <w:color w:val="1F4E79" w:themeColor="accent1" w:themeShade="80"/>
          <w:sz w:val="22"/>
          <w:szCs w:val="22"/>
        </w:rPr>
      </w:pPr>
      <w:r w:rsidRPr="002D0356">
        <w:rPr>
          <w:rFonts w:ascii="Calibri" w:hAnsi="Calibri" w:cs="Arial"/>
          <w:b/>
          <w:color w:val="1F4E79" w:themeColor="accent1" w:themeShade="80"/>
          <w:sz w:val="22"/>
          <w:szCs w:val="22"/>
        </w:rPr>
        <w:t>Garrido Montt, Mario; Derecho Penal, Parte Especial; Tomo IV; Editorial Jurídica de Chile; Tercera Edición; 2007</w:t>
      </w:r>
    </w:p>
    <w:p w:rsidR="00942912" w:rsidRPr="00942912" w:rsidRDefault="00942912" w:rsidP="00C95397">
      <w:pPr>
        <w:pStyle w:val="Default"/>
        <w:numPr>
          <w:ilvl w:val="0"/>
          <w:numId w:val="5"/>
        </w:numPr>
        <w:spacing w:line="360" w:lineRule="auto"/>
        <w:jc w:val="both"/>
        <w:rPr>
          <w:b/>
          <w:i/>
          <w:sz w:val="22"/>
          <w:szCs w:val="22"/>
          <w:u w:val="single"/>
        </w:rPr>
      </w:pPr>
      <w:r w:rsidRPr="00942912">
        <w:rPr>
          <w:b/>
          <w:i/>
          <w:sz w:val="22"/>
          <w:szCs w:val="22"/>
          <w:u w:val="single"/>
        </w:rPr>
        <w:t>Delitos contra la libertad e indemnidad sexual</w:t>
      </w:r>
    </w:p>
    <w:p w:rsidR="00C95397" w:rsidRPr="00EB7B65" w:rsidRDefault="00246FCC" w:rsidP="00942912">
      <w:pPr>
        <w:pStyle w:val="Default"/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Crímenes y delitos contra el orden de las familias, contra la moralidad pública y contra la integridad sexual </w:t>
      </w:r>
      <w:r w:rsidR="00C95397" w:rsidRPr="00EB7B65">
        <w:rPr>
          <w:sz w:val="22"/>
          <w:szCs w:val="22"/>
        </w:rPr>
        <w:t>del título VII del Libro II del Código Penal</w:t>
      </w:r>
      <w:r>
        <w:rPr>
          <w:sz w:val="22"/>
          <w:szCs w:val="22"/>
        </w:rPr>
        <w:t xml:space="preserve"> (menos párrafos 2, abandono de niños y personas desvalidas, párrafo 3, crímenes y simples delitos contra el estado civil de las personas y párrafo 10, celebración de matrimonios ilegales)</w:t>
      </w:r>
    </w:p>
    <w:p w:rsidR="00C95397" w:rsidRPr="002D0356" w:rsidRDefault="00C95397" w:rsidP="00C95397">
      <w:pPr>
        <w:spacing w:after="0" w:line="360" w:lineRule="auto"/>
        <w:ind w:left="708"/>
        <w:jc w:val="both"/>
        <w:rPr>
          <w:rFonts w:ascii="Calibri" w:hAnsi="Calibri" w:cs="Arial"/>
          <w:b/>
          <w:color w:val="1F4E79" w:themeColor="accent1" w:themeShade="80"/>
        </w:rPr>
      </w:pPr>
      <w:r w:rsidRPr="002D0356">
        <w:rPr>
          <w:rFonts w:ascii="Calibri" w:hAnsi="Calibri" w:cs="Arial"/>
          <w:b/>
          <w:color w:val="1F4E79" w:themeColor="accent1" w:themeShade="80"/>
        </w:rPr>
        <w:t xml:space="preserve">Lectura: Delitos contra la vida </w:t>
      </w:r>
      <w:r w:rsidR="00942912" w:rsidRPr="002D0356">
        <w:rPr>
          <w:rFonts w:ascii="Calibri" w:hAnsi="Calibri" w:cs="Arial"/>
          <w:b/>
          <w:color w:val="1F4E79" w:themeColor="accent1" w:themeShade="80"/>
        </w:rPr>
        <w:t xml:space="preserve">humana dependiente </w:t>
      </w:r>
      <w:r w:rsidRPr="002D0356">
        <w:rPr>
          <w:rFonts w:ascii="Calibri" w:hAnsi="Calibri" w:cs="Arial"/>
          <w:b/>
          <w:color w:val="1F4E79" w:themeColor="accent1" w:themeShade="80"/>
        </w:rPr>
        <w:t>(aborto)</w:t>
      </w:r>
    </w:p>
    <w:p w:rsidR="00C95397" w:rsidRPr="002D0356" w:rsidRDefault="00C95397" w:rsidP="00C95397">
      <w:pPr>
        <w:spacing w:after="0" w:line="360" w:lineRule="auto"/>
        <w:ind w:left="705"/>
        <w:jc w:val="both"/>
        <w:rPr>
          <w:rFonts w:ascii="Calibri" w:hAnsi="Calibri" w:cs="Arial"/>
          <w:b/>
          <w:color w:val="1F4E79" w:themeColor="accent1" w:themeShade="80"/>
        </w:rPr>
      </w:pPr>
      <w:r w:rsidRPr="002D0356">
        <w:rPr>
          <w:rFonts w:ascii="Calibri" w:hAnsi="Calibri" w:cs="Arial"/>
          <w:b/>
          <w:color w:val="1F4E79" w:themeColor="accent1" w:themeShade="80"/>
        </w:rPr>
        <w:t>Lectura: Delitos contra la libertad e indemnidad sexual y la honestidad</w:t>
      </w:r>
    </w:p>
    <w:p w:rsidR="00C95397" w:rsidRPr="002D0356" w:rsidRDefault="00C95397" w:rsidP="00C95397">
      <w:pPr>
        <w:spacing w:after="0" w:line="360" w:lineRule="auto"/>
        <w:ind w:left="708" w:hanging="3"/>
        <w:jc w:val="both"/>
        <w:rPr>
          <w:rFonts w:ascii="Calibri" w:hAnsi="Calibri"/>
          <w:b/>
          <w:color w:val="1F4E79" w:themeColor="accent1" w:themeShade="80"/>
        </w:rPr>
      </w:pPr>
      <w:proofErr w:type="spellStart"/>
      <w:r w:rsidRPr="002D0356">
        <w:rPr>
          <w:rFonts w:ascii="Calibri" w:hAnsi="Calibri" w:cs="Arial"/>
          <w:b/>
          <w:color w:val="1F4E79" w:themeColor="accent1" w:themeShade="80"/>
        </w:rPr>
        <w:t>Politoff</w:t>
      </w:r>
      <w:proofErr w:type="spellEnd"/>
      <w:r w:rsidRPr="002D0356">
        <w:rPr>
          <w:rFonts w:ascii="Calibri" w:hAnsi="Calibri" w:cs="Arial"/>
          <w:b/>
          <w:color w:val="1F4E79" w:themeColor="accent1" w:themeShade="80"/>
        </w:rPr>
        <w:t>, Matus y Ramírez</w:t>
      </w:r>
      <w:r w:rsidRPr="002D0356">
        <w:rPr>
          <w:rFonts w:ascii="Calibri" w:hAnsi="Calibri"/>
          <w:b/>
          <w:color w:val="1F4E79" w:themeColor="accent1" w:themeShade="80"/>
        </w:rPr>
        <w:t xml:space="preserve">; </w:t>
      </w:r>
      <w:r w:rsidRPr="002D0356">
        <w:rPr>
          <w:rFonts w:ascii="Calibri" w:hAnsi="Calibri" w:cs="Arial"/>
          <w:b/>
          <w:color w:val="1F4E79" w:themeColor="accent1" w:themeShade="80"/>
        </w:rPr>
        <w:t>Lecciones de Derecho Penal Chileno, Parte Especial; Segunda Edición Actualizada; Editorial Jurídica de Chile; Santiago; 2006</w:t>
      </w:r>
    </w:p>
    <w:p w:rsidR="0087020C" w:rsidRPr="0087020C" w:rsidRDefault="00C95397" w:rsidP="00C95397">
      <w:pPr>
        <w:pStyle w:val="Default"/>
        <w:numPr>
          <w:ilvl w:val="0"/>
          <w:numId w:val="5"/>
        </w:numPr>
        <w:spacing w:line="360" w:lineRule="auto"/>
        <w:jc w:val="both"/>
        <w:rPr>
          <w:b/>
          <w:i/>
          <w:sz w:val="22"/>
          <w:szCs w:val="22"/>
          <w:u w:val="single"/>
        </w:rPr>
      </w:pPr>
      <w:r w:rsidRPr="0087020C">
        <w:rPr>
          <w:b/>
          <w:i/>
          <w:sz w:val="22"/>
          <w:szCs w:val="22"/>
          <w:u w:val="single"/>
        </w:rPr>
        <w:t xml:space="preserve">Delitos </w:t>
      </w:r>
      <w:r w:rsidR="0087020C" w:rsidRPr="0087020C">
        <w:rPr>
          <w:b/>
          <w:i/>
          <w:sz w:val="22"/>
          <w:szCs w:val="22"/>
          <w:u w:val="single"/>
        </w:rPr>
        <w:t>imprudentes</w:t>
      </w:r>
    </w:p>
    <w:p w:rsidR="00C95397" w:rsidRPr="00EB7B65" w:rsidRDefault="00C95397" w:rsidP="0087020C">
      <w:pPr>
        <w:pStyle w:val="Default"/>
        <w:spacing w:line="360" w:lineRule="auto"/>
        <w:ind w:left="720"/>
        <w:jc w:val="both"/>
        <w:rPr>
          <w:color w:val="000000" w:themeColor="text1"/>
          <w:sz w:val="22"/>
          <w:szCs w:val="22"/>
        </w:rPr>
      </w:pPr>
      <w:r w:rsidRPr="00EB7B65">
        <w:rPr>
          <w:color w:val="000000" w:themeColor="text1"/>
          <w:sz w:val="22"/>
          <w:szCs w:val="22"/>
        </w:rPr>
        <w:t>De</w:t>
      </w:r>
      <w:r w:rsidR="00AD4B6F">
        <w:rPr>
          <w:color w:val="000000" w:themeColor="text1"/>
          <w:sz w:val="22"/>
          <w:szCs w:val="22"/>
        </w:rPr>
        <w:t xml:space="preserve"> los Cuasidelitos del </w:t>
      </w:r>
      <w:r w:rsidRPr="00EB7B65">
        <w:rPr>
          <w:color w:val="000000" w:themeColor="text1"/>
          <w:sz w:val="22"/>
          <w:szCs w:val="22"/>
        </w:rPr>
        <w:t>título X  del Libro II del Código Penal</w:t>
      </w:r>
    </w:p>
    <w:p w:rsidR="00C95397" w:rsidRPr="002D0356" w:rsidRDefault="00C95397" w:rsidP="00C95397">
      <w:pPr>
        <w:pStyle w:val="Sinespaciado"/>
        <w:spacing w:line="360" w:lineRule="auto"/>
        <w:ind w:left="720"/>
        <w:jc w:val="both"/>
        <w:rPr>
          <w:rFonts w:ascii="Calibri" w:hAnsi="Calibri"/>
          <w:b/>
          <w:color w:val="1F4E79" w:themeColor="accent1" w:themeShade="80"/>
        </w:rPr>
      </w:pPr>
      <w:r w:rsidRPr="002D0356">
        <w:rPr>
          <w:rFonts w:ascii="Calibri" w:hAnsi="Calibri"/>
          <w:b/>
          <w:color w:val="1F4E79" w:themeColor="accent1" w:themeShade="80"/>
        </w:rPr>
        <w:t>Lectura:</w:t>
      </w:r>
    </w:p>
    <w:p w:rsidR="00C95397" w:rsidRPr="002D0356" w:rsidRDefault="00C95397" w:rsidP="00C95397">
      <w:pPr>
        <w:pStyle w:val="Default"/>
        <w:spacing w:line="360" w:lineRule="auto"/>
        <w:ind w:left="720"/>
        <w:jc w:val="both"/>
        <w:rPr>
          <w:color w:val="1F4E79" w:themeColor="accent1" w:themeShade="80"/>
          <w:sz w:val="22"/>
          <w:szCs w:val="22"/>
          <w:u w:val="single"/>
        </w:rPr>
      </w:pPr>
      <w:r w:rsidRPr="002D0356">
        <w:rPr>
          <w:rFonts w:eastAsia="Calibri" w:cs="Arial"/>
          <w:b/>
          <w:color w:val="1F4E79" w:themeColor="accent1" w:themeShade="80"/>
          <w:sz w:val="22"/>
          <w:szCs w:val="22"/>
        </w:rPr>
        <w:t xml:space="preserve">Derecho Penal; Parte General; Enrique </w:t>
      </w:r>
      <w:proofErr w:type="spellStart"/>
      <w:r w:rsidRPr="002D0356">
        <w:rPr>
          <w:rFonts w:eastAsia="Calibri" w:cs="Arial"/>
          <w:b/>
          <w:color w:val="1F4E79" w:themeColor="accent1" w:themeShade="80"/>
          <w:sz w:val="22"/>
          <w:szCs w:val="22"/>
        </w:rPr>
        <w:t>Cury</w:t>
      </w:r>
      <w:proofErr w:type="spellEnd"/>
      <w:r w:rsidRPr="002D0356">
        <w:rPr>
          <w:rFonts w:eastAsia="Calibri" w:cs="Arial"/>
          <w:b/>
          <w:color w:val="1F4E79" w:themeColor="accent1" w:themeShade="80"/>
          <w:sz w:val="22"/>
          <w:szCs w:val="22"/>
        </w:rPr>
        <w:t xml:space="preserve"> Urzúa; Novena Edición; 2009</w:t>
      </w:r>
    </w:p>
    <w:p w:rsidR="00C95397" w:rsidRPr="002D0356" w:rsidRDefault="00C95397" w:rsidP="00C95397">
      <w:pPr>
        <w:pStyle w:val="Default"/>
        <w:spacing w:line="360" w:lineRule="auto"/>
        <w:ind w:left="720"/>
        <w:jc w:val="both"/>
        <w:rPr>
          <w:b/>
          <w:color w:val="1F4E79" w:themeColor="accent1" w:themeShade="80"/>
          <w:sz w:val="22"/>
          <w:szCs w:val="22"/>
          <w:u w:val="single"/>
        </w:rPr>
      </w:pPr>
      <w:r w:rsidRPr="002D0356">
        <w:rPr>
          <w:b/>
          <w:color w:val="1F4E79" w:themeColor="accent1" w:themeShade="80"/>
          <w:sz w:val="22"/>
          <w:szCs w:val="22"/>
          <w:u w:val="single"/>
        </w:rPr>
        <w:t>Lectura para toda la parte especial</w:t>
      </w:r>
    </w:p>
    <w:p w:rsidR="00C95397" w:rsidRPr="002D0356" w:rsidRDefault="00C95397" w:rsidP="00C95397">
      <w:pPr>
        <w:spacing w:after="0" w:line="360" w:lineRule="auto"/>
        <w:ind w:left="708"/>
        <w:jc w:val="both"/>
        <w:rPr>
          <w:rFonts w:ascii="Calibri" w:eastAsia="Calibri" w:hAnsi="Calibri" w:cs="Arial"/>
          <w:b/>
          <w:color w:val="1F4E79" w:themeColor="accent1" w:themeShade="80"/>
        </w:rPr>
      </w:pPr>
      <w:r w:rsidRPr="002D0356">
        <w:rPr>
          <w:rFonts w:ascii="Calibri" w:eastAsia="Calibri" w:hAnsi="Calibri" w:cs="Arial"/>
          <w:b/>
          <w:color w:val="1F4E79" w:themeColor="accent1" w:themeShade="80"/>
        </w:rPr>
        <w:t>Código Penal</w:t>
      </w:r>
    </w:p>
    <w:p w:rsidR="00C95397" w:rsidRPr="002D0356" w:rsidRDefault="00C95397" w:rsidP="00C95397">
      <w:pPr>
        <w:pStyle w:val="Default"/>
        <w:spacing w:line="360" w:lineRule="auto"/>
        <w:ind w:left="720"/>
        <w:jc w:val="both"/>
        <w:rPr>
          <w:color w:val="1F4E79" w:themeColor="accent1" w:themeShade="80"/>
          <w:sz w:val="22"/>
          <w:szCs w:val="22"/>
          <w:u w:val="single"/>
        </w:rPr>
      </w:pPr>
    </w:p>
    <w:p w:rsidR="00C95397" w:rsidRPr="00EB7B65" w:rsidRDefault="00C95397" w:rsidP="00C95397">
      <w:pPr>
        <w:pStyle w:val="Default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 w:rsidRPr="00EB7B65">
        <w:rPr>
          <w:b/>
          <w:sz w:val="22"/>
          <w:szCs w:val="22"/>
          <w:u w:val="single"/>
        </w:rPr>
        <w:t>Leyes penales especiales:</w:t>
      </w:r>
    </w:p>
    <w:p w:rsidR="00C95397" w:rsidRPr="00EB7B65" w:rsidRDefault="00C95397" w:rsidP="00C95397">
      <w:pPr>
        <w:pStyle w:val="Default"/>
        <w:spacing w:line="360" w:lineRule="auto"/>
        <w:jc w:val="both"/>
        <w:rPr>
          <w:sz w:val="22"/>
          <w:szCs w:val="22"/>
        </w:rPr>
      </w:pPr>
    </w:p>
    <w:p w:rsidR="00C95397" w:rsidRPr="00EB7B65" w:rsidRDefault="00C95397" w:rsidP="00C95397">
      <w:pPr>
        <w:pStyle w:val="Default"/>
        <w:spacing w:line="360" w:lineRule="auto"/>
        <w:ind w:left="708" w:hanging="348"/>
        <w:jc w:val="both"/>
        <w:rPr>
          <w:sz w:val="22"/>
          <w:szCs w:val="22"/>
        </w:rPr>
      </w:pPr>
      <w:r w:rsidRPr="00EB7B65">
        <w:rPr>
          <w:sz w:val="22"/>
          <w:szCs w:val="22"/>
        </w:rPr>
        <w:t xml:space="preserve"> </w:t>
      </w:r>
      <w:r w:rsidRPr="00EB7B65">
        <w:rPr>
          <w:sz w:val="22"/>
          <w:szCs w:val="22"/>
        </w:rPr>
        <w:tab/>
        <w:t xml:space="preserve">1) Ley N° 20.000, que sanciona el tráfico ilícito de estupefacientes y sustancias sicotrópicas; </w:t>
      </w:r>
    </w:p>
    <w:p w:rsidR="00C95397" w:rsidRPr="002D0356" w:rsidRDefault="00C95397" w:rsidP="00C95397">
      <w:pPr>
        <w:spacing w:after="0" w:line="360" w:lineRule="auto"/>
        <w:ind w:left="708"/>
        <w:jc w:val="both"/>
        <w:rPr>
          <w:rFonts w:ascii="Calibri" w:hAnsi="Calibri" w:cs="Arial"/>
          <w:b/>
          <w:color w:val="1F4E79" w:themeColor="accent1" w:themeShade="80"/>
        </w:rPr>
      </w:pPr>
      <w:r w:rsidRPr="002D0356">
        <w:rPr>
          <w:rFonts w:ascii="Calibri" w:hAnsi="Calibri" w:cs="Arial"/>
          <w:b/>
          <w:color w:val="1F4E79" w:themeColor="accent1" w:themeShade="80"/>
        </w:rPr>
        <w:t>Lectura: tráfico ilícito de estupefacientes</w:t>
      </w:r>
    </w:p>
    <w:p w:rsidR="00C95397" w:rsidRPr="002D0356" w:rsidRDefault="00C95397" w:rsidP="00C95397">
      <w:pPr>
        <w:pStyle w:val="Sinespaciado"/>
        <w:spacing w:line="360" w:lineRule="auto"/>
        <w:ind w:left="708"/>
        <w:jc w:val="both"/>
        <w:rPr>
          <w:rFonts w:ascii="Calibri" w:hAnsi="Calibri"/>
          <w:b/>
          <w:color w:val="1F4E79" w:themeColor="accent1" w:themeShade="80"/>
        </w:rPr>
      </w:pPr>
      <w:r w:rsidRPr="002D0356">
        <w:rPr>
          <w:rFonts w:ascii="Calibri" w:hAnsi="Calibri"/>
          <w:b/>
          <w:color w:val="1F4E79" w:themeColor="accent1" w:themeShade="80"/>
        </w:rPr>
        <w:t xml:space="preserve">Matus Acuña, Jean Pierre y Ramírez Guzmán, María Cecilia; “Manuela de Derecho Penal Chileno”; Parte Especial; Editorial </w:t>
      </w:r>
      <w:proofErr w:type="spellStart"/>
      <w:r w:rsidRPr="002D0356">
        <w:rPr>
          <w:rFonts w:ascii="Calibri" w:hAnsi="Calibri"/>
          <w:b/>
          <w:color w:val="1F4E79" w:themeColor="accent1" w:themeShade="80"/>
        </w:rPr>
        <w:t>Turant</w:t>
      </w:r>
      <w:proofErr w:type="spellEnd"/>
      <w:r w:rsidRPr="002D0356">
        <w:rPr>
          <w:rFonts w:ascii="Calibri" w:hAnsi="Calibri"/>
          <w:b/>
          <w:color w:val="1F4E79" w:themeColor="accent1" w:themeShade="80"/>
        </w:rPr>
        <w:t xml:space="preserve"> lo Blanch; Valencia; 2017</w:t>
      </w:r>
    </w:p>
    <w:p w:rsidR="00C95397" w:rsidRPr="002D0356" w:rsidRDefault="00C95397" w:rsidP="00C95397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Calibri" w:hAnsi="Calibri" w:cs="Arial"/>
          <w:b/>
          <w:bCs/>
          <w:color w:val="1F4E79" w:themeColor="accent1" w:themeShade="80"/>
        </w:rPr>
      </w:pPr>
      <w:r w:rsidRPr="002D0356">
        <w:rPr>
          <w:rFonts w:ascii="Calibri" w:hAnsi="Calibri" w:cs="Arial"/>
          <w:b/>
          <w:bCs/>
          <w:color w:val="1F4E79" w:themeColor="accent1" w:themeShade="80"/>
        </w:rPr>
        <w:t>Exigencia jurisprudencial de peligro concreto en los delitos de la </w:t>
      </w:r>
      <w:r w:rsidRPr="002D0356">
        <w:rPr>
          <w:rStyle w:val="solext0"/>
          <w:rFonts w:ascii="Calibri" w:hAnsi="Calibri" w:cs="Arial"/>
          <w:b/>
          <w:bCs/>
          <w:color w:val="1F4E79" w:themeColor="accent1" w:themeShade="80"/>
        </w:rPr>
        <w:t>ley</w:t>
      </w:r>
      <w:r w:rsidRPr="002D0356">
        <w:rPr>
          <w:rFonts w:ascii="Calibri" w:hAnsi="Calibri" w:cs="Arial"/>
          <w:b/>
          <w:bCs/>
          <w:color w:val="1F4E79" w:themeColor="accent1" w:themeShade="80"/>
        </w:rPr>
        <w:t> </w:t>
      </w:r>
      <w:r w:rsidRPr="002D0356">
        <w:rPr>
          <w:rStyle w:val="solext1"/>
          <w:rFonts w:ascii="Calibri" w:hAnsi="Calibri" w:cs="Arial"/>
          <w:b/>
          <w:bCs/>
          <w:color w:val="1F4E79" w:themeColor="accent1" w:themeShade="80"/>
        </w:rPr>
        <w:t>20.000</w:t>
      </w:r>
      <w:r w:rsidRPr="002D0356">
        <w:rPr>
          <w:rFonts w:ascii="Calibri" w:hAnsi="Calibri" w:cs="Arial"/>
          <w:b/>
          <w:bCs/>
          <w:color w:val="1F4E79" w:themeColor="accent1" w:themeShade="80"/>
        </w:rPr>
        <w:t> y su relación con figuras típicas que sancionan actos pr</w:t>
      </w:r>
      <w:r w:rsidR="00E57B8C">
        <w:rPr>
          <w:rFonts w:ascii="Calibri" w:hAnsi="Calibri" w:cs="Arial"/>
          <w:b/>
          <w:bCs/>
          <w:color w:val="1F4E79" w:themeColor="accent1" w:themeShade="80"/>
        </w:rPr>
        <w:t>eparatorios del mismo cuerpo.</w:t>
      </w:r>
    </w:p>
    <w:p w:rsidR="00C95397" w:rsidRPr="002D0356" w:rsidRDefault="00C95397" w:rsidP="00C95397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Calibri" w:hAnsi="Calibri" w:cs="Arial"/>
          <w:b/>
          <w:color w:val="1F4E79" w:themeColor="accent1" w:themeShade="80"/>
        </w:rPr>
      </w:pPr>
      <w:r w:rsidRPr="002D0356">
        <w:rPr>
          <w:rStyle w:val="solext0"/>
          <w:rFonts w:ascii="Calibri" w:hAnsi="Calibri" w:cs="Arial"/>
          <w:b/>
          <w:color w:val="1F4E79" w:themeColor="accent1" w:themeShade="80"/>
        </w:rPr>
        <w:t>Ley</w:t>
      </w:r>
      <w:r w:rsidRPr="002D0356">
        <w:rPr>
          <w:rFonts w:ascii="Calibri" w:hAnsi="Calibri" w:cs="Arial"/>
          <w:b/>
          <w:color w:val="1F4E79" w:themeColor="accent1" w:themeShade="80"/>
        </w:rPr>
        <w:t> 20000.    Art. 19 a, Agravante y control judicial. Informe en Derecho</w:t>
      </w:r>
      <w:r w:rsidR="00E57B8C">
        <w:rPr>
          <w:rFonts w:ascii="Calibri" w:hAnsi="Calibri" w:cs="Arial"/>
          <w:b/>
          <w:color w:val="1F4E79" w:themeColor="accent1" w:themeShade="80"/>
        </w:rPr>
        <w:t xml:space="preserve"> de Hector Hernández.</w:t>
      </w:r>
    </w:p>
    <w:p w:rsidR="00C95397" w:rsidRDefault="00C95397" w:rsidP="00E57B8C">
      <w:pPr>
        <w:spacing w:after="0" w:line="360" w:lineRule="auto"/>
        <w:ind w:left="708"/>
        <w:jc w:val="both"/>
        <w:rPr>
          <w:rFonts w:ascii="Calibri" w:eastAsia="Times New Roman" w:hAnsi="Calibri" w:cs="Arial"/>
          <w:b/>
          <w:bCs/>
          <w:color w:val="1F4E79" w:themeColor="accent1" w:themeShade="80"/>
          <w:lang w:eastAsia="es-CL"/>
        </w:rPr>
      </w:pPr>
      <w:r w:rsidRPr="002D0356">
        <w:rPr>
          <w:rFonts w:ascii="Calibri" w:eastAsia="Times New Roman" w:hAnsi="Calibri" w:cs="Arial"/>
          <w:b/>
          <w:bCs/>
          <w:color w:val="1F4E79" w:themeColor="accent1" w:themeShade="80"/>
          <w:lang w:eastAsia="es-CL"/>
        </w:rPr>
        <w:t>Aplicación del artículo 4º Ley 20.000. Criterios generales para dar contenido al elemento nor</w:t>
      </w:r>
      <w:r w:rsidR="00E57B8C">
        <w:rPr>
          <w:rFonts w:ascii="Calibri" w:eastAsia="Times New Roman" w:hAnsi="Calibri" w:cs="Arial"/>
          <w:b/>
          <w:bCs/>
          <w:color w:val="1F4E79" w:themeColor="accent1" w:themeShade="80"/>
          <w:lang w:eastAsia="es-CL"/>
        </w:rPr>
        <w:t>mativo «pequeñas cantidades».</w:t>
      </w:r>
    </w:p>
    <w:p w:rsidR="00E57B8C" w:rsidRPr="002D0356" w:rsidRDefault="00E57B8C" w:rsidP="00E57B8C">
      <w:pPr>
        <w:spacing w:after="0" w:line="360" w:lineRule="auto"/>
        <w:ind w:left="708"/>
        <w:jc w:val="both"/>
        <w:rPr>
          <w:rFonts w:ascii="Calibri" w:hAnsi="Calibri" w:cs="Arial"/>
          <w:b/>
          <w:bCs/>
          <w:color w:val="1F4E79" w:themeColor="accent1" w:themeShade="80"/>
        </w:rPr>
      </w:pPr>
      <w:hyperlink r:id="rId11" w:history="1">
        <w:r>
          <w:rPr>
            <w:rStyle w:val="Hipervnculo"/>
          </w:rPr>
          <w:t>https://www.dropbox.com/sh/y17h449a8cwh6dw/AAC3eGDcOQ9O83cz80tdPOK0a?dl=0</w:t>
        </w:r>
      </w:hyperlink>
    </w:p>
    <w:p w:rsidR="00C95397" w:rsidRPr="00EB7B65" w:rsidRDefault="00C95397" w:rsidP="00C95397">
      <w:pPr>
        <w:pStyle w:val="Default"/>
        <w:spacing w:line="360" w:lineRule="auto"/>
        <w:ind w:left="360" w:firstLine="348"/>
        <w:jc w:val="both"/>
        <w:rPr>
          <w:sz w:val="22"/>
          <w:szCs w:val="22"/>
        </w:rPr>
      </w:pPr>
      <w:r w:rsidRPr="00EB7B65">
        <w:rPr>
          <w:sz w:val="22"/>
          <w:szCs w:val="22"/>
        </w:rPr>
        <w:t>2) Ley N° 20.066, que sanciona los actos de violencia intrafamiliar;</w:t>
      </w:r>
    </w:p>
    <w:p w:rsidR="00C95397" w:rsidRPr="002D0356" w:rsidRDefault="00C95397" w:rsidP="00C95397">
      <w:pPr>
        <w:spacing w:after="0" w:line="360" w:lineRule="auto"/>
        <w:ind w:firstLine="708"/>
        <w:jc w:val="both"/>
        <w:rPr>
          <w:rFonts w:ascii="Calibri" w:eastAsia="Calibri" w:hAnsi="Calibri" w:cs="Arial"/>
          <w:b/>
          <w:color w:val="1F4E79" w:themeColor="accent1" w:themeShade="80"/>
        </w:rPr>
      </w:pPr>
      <w:r w:rsidRPr="002D0356">
        <w:rPr>
          <w:rFonts w:ascii="Calibri" w:hAnsi="Calibri" w:cs="Arial"/>
          <w:b/>
          <w:color w:val="1F4E79" w:themeColor="accent1" w:themeShade="80"/>
        </w:rPr>
        <w:t>Lectura: la ley de violencia intrafamiliar</w:t>
      </w:r>
    </w:p>
    <w:p w:rsidR="00C95397" w:rsidRPr="002D0356" w:rsidRDefault="00C95397" w:rsidP="00C95397">
      <w:pPr>
        <w:autoSpaceDE w:val="0"/>
        <w:autoSpaceDN w:val="0"/>
        <w:adjustRightInd w:val="0"/>
        <w:spacing w:after="0" w:line="360" w:lineRule="auto"/>
        <w:ind w:left="708" w:hanging="708"/>
        <w:jc w:val="both"/>
        <w:rPr>
          <w:rFonts w:ascii="Calibri" w:hAnsi="Calibri" w:cs="Arial"/>
          <w:b/>
          <w:bCs/>
          <w:color w:val="1F4E79" w:themeColor="accent1" w:themeShade="80"/>
          <w:u w:val="single"/>
        </w:rPr>
      </w:pPr>
      <w:r w:rsidRPr="002D0356">
        <w:rPr>
          <w:rFonts w:ascii="Calibri" w:eastAsia="Times New Roman" w:hAnsi="Calibri" w:cs="Arial"/>
          <w:b/>
          <w:color w:val="1F4E79" w:themeColor="accent1" w:themeShade="80"/>
          <w:lang w:eastAsia="es-CL"/>
        </w:rPr>
        <w:tab/>
      </w:r>
      <w:bookmarkStart w:id="0" w:name="OLE_LINK1"/>
      <w:r w:rsidRPr="002D0356">
        <w:rPr>
          <w:rFonts w:ascii="Calibri" w:hAnsi="Calibri" w:cs="Arial"/>
          <w:b/>
          <w:bCs/>
          <w:color w:val="1F4E79" w:themeColor="accent1" w:themeShade="80"/>
        </w:rPr>
        <w:t>ALCANCES DEL DELITO DE DESACATO EN EL CONTEXTO DE LA LEY DE VIOLENCIA INTRAFAMILIAR</w:t>
      </w:r>
      <w:bookmarkEnd w:id="0"/>
      <w:r w:rsidR="00E57B8C">
        <w:rPr>
          <w:rFonts w:ascii="Calibri" w:hAnsi="Calibri" w:cs="Arial"/>
          <w:b/>
          <w:bCs/>
          <w:color w:val="1F4E79" w:themeColor="accent1" w:themeShade="80"/>
        </w:rPr>
        <w:t>.</w:t>
      </w:r>
    </w:p>
    <w:p w:rsidR="00C95397" w:rsidRPr="002D0356" w:rsidRDefault="00C95397" w:rsidP="00C95397">
      <w:pPr>
        <w:autoSpaceDE w:val="0"/>
        <w:autoSpaceDN w:val="0"/>
        <w:adjustRightInd w:val="0"/>
        <w:spacing w:after="0" w:line="360" w:lineRule="auto"/>
        <w:ind w:left="708" w:hanging="708"/>
        <w:jc w:val="both"/>
        <w:rPr>
          <w:rFonts w:ascii="Calibri" w:hAnsi="Calibri"/>
          <w:b/>
          <w:bCs/>
          <w:color w:val="1F4E79" w:themeColor="accent1" w:themeShade="80"/>
          <w:u w:val="single"/>
        </w:rPr>
      </w:pPr>
      <w:r w:rsidRPr="002D0356">
        <w:rPr>
          <w:rFonts w:ascii="Calibri" w:hAnsi="Calibri" w:cs="Arial"/>
          <w:b/>
          <w:bCs/>
          <w:color w:val="1F4E79" w:themeColor="accent1" w:themeShade="80"/>
        </w:rPr>
        <w:tab/>
      </w:r>
      <w:r w:rsidRPr="002D0356">
        <w:rPr>
          <w:rFonts w:ascii="Calibri" w:hAnsi="Calibri"/>
          <w:b/>
          <w:bCs/>
          <w:color w:val="1F4E79" w:themeColor="accent1" w:themeShade="80"/>
        </w:rPr>
        <w:t>Desacato en contexto VIF e incumplimiento de medidas cautelares y accesorias decretadas en otro delito de desacato en co</w:t>
      </w:r>
      <w:r w:rsidR="00E57B8C">
        <w:rPr>
          <w:rFonts w:ascii="Calibri" w:hAnsi="Calibri"/>
          <w:b/>
          <w:bCs/>
          <w:color w:val="1F4E79" w:themeColor="accent1" w:themeShade="80"/>
        </w:rPr>
        <w:t>ntexto VIF.CONSULTA (15) 2012.</w:t>
      </w:r>
    </w:p>
    <w:p w:rsidR="00960D0E" w:rsidRPr="002D0356" w:rsidRDefault="00960D0E" w:rsidP="00C95397">
      <w:pPr>
        <w:autoSpaceDE w:val="0"/>
        <w:autoSpaceDN w:val="0"/>
        <w:adjustRightInd w:val="0"/>
        <w:spacing w:after="0" w:line="360" w:lineRule="auto"/>
        <w:ind w:left="708" w:hanging="708"/>
        <w:jc w:val="both"/>
        <w:rPr>
          <w:rFonts w:ascii="Calibri" w:hAnsi="Calibri"/>
          <w:b/>
          <w:bCs/>
          <w:color w:val="1F4E79" w:themeColor="accent1" w:themeShade="80"/>
        </w:rPr>
      </w:pPr>
      <w:r w:rsidRPr="002D0356">
        <w:rPr>
          <w:rFonts w:ascii="Calibri" w:hAnsi="Calibri"/>
          <w:b/>
          <w:bCs/>
          <w:color w:val="1F4E79" w:themeColor="accent1" w:themeShade="80"/>
        </w:rPr>
        <w:tab/>
        <w:t>MINUTA “LA NUEVA NORMATIVA CONTRA LA VIOLENCIA INTRAFAMILIAR: LEY QUE DICTA NORMAS DE PROTECCIÓN CONTRA LA VIOLENCIA INTRAFAMILIAR (LEY N° 20.066) Y LEY QUE CREA LOS TRIBUNALE</w:t>
      </w:r>
      <w:r w:rsidR="00E57B8C">
        <w:rPr>
          <w:rFonts w:ascii="Calibri" w:hAnsi="Calibri"/>
          <w:b/>
          <w:bCs/>
          <w:color w:val="1F4E79" w:themeColor="accent1" w:themeShade="80"/>
        </w:rPr>
        <w:t>S DE FAMILIA (LEY n° 19.968).</w:t>
      </w:r>
    </w:p>
    <w:p w:rsidR="00655BBD" w:rsidRPr="002D0356" w:rsidRDefault="00655BBD" w:rsidP="00655BBD">
      <w:pPr>
        <w:autoSpaceDE w:val="0"/>
        <w:autoSpaceDN w:val="0"/>
        <w:adjustRightInd w:val="0"/>
        <w:spacing w:after="0" w:line="360" w:lineRule="auto"/>
        <w:ind w:left="708" w:hanging="708"/>
        <w:jc w:val="both"/>
        <w:rPr>
          <w:rFonts w:ascii="Calibri" w:hAnsi="Calibri"/>
          <w:b/>
          <w:bCs/>
          <w:color w:val="1F4E79" w:themeColor="accent1" w:themeShade="80"/>
        </w:rPr>
      </w:pPr>
      <w:r w:rsidRPr="002D0356">
        <w:rPr>
          <w:rFonts w:ascii="Calibri" w:hAnsi="Calibri"/>
          <w:b/>
          <w:bCs/>
          <w:color w:val="1F4E79" w:themeColor="accent1" w:themeShade="80"/>
        </w:rPr>
        <w:tab/>
        <w:t>Minuta: “El delito de desacato del</w:t>
      </w:r>
      <w:bookmarkStart w:id="1" w:name="_Toc188673046"/>
      <w:r w:rsidR="00E57B8C">
        <w:rPr>
          <w:rFonts w:ascii="Calibri" w:hAnsi="Calibri"/>
          <w:b/>
          <w:bCs/>
          <w:color w:val="1F4E79" w:themeColor="accent1" w:themeShade="80"/>
        </w:rPr>
        <w:t xml:space="preserve"> artículo 240 inciso 2° CPC”.</w:t>
      </w:r>
    </w:p>
    <w:p w:rsidR="00C95397" w:rsidRDefault="00C95397" w:rsidP="00655BBD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Calibri" w:eastAsia="Times New Roman" w:hAnsi="Calibri" w:cs="Arial"/>
          <w:b/>
          <w:bCs/>
          <w:color w:val="1F4E79" w:themeColor="accent1" w:themeShade="80"/>
          <w:lang w:eastAsia="es-CL"/>
        </w:rPr>
      </w:pPr>
      <w:r w:rsidRPr="002D0356">
        <w:rPr>
          <w:rFonts w:ascii="Calibri" w:eastAsia="Times New Roman" w:hAnsi="Calibri" w:cs="Arial"/>
          <w:b/>
          <w:bCs/>
          <w:color w:val="1F4E79" w:themeColor="accent1" w:themeShade="80"/>
          <w:lang w:eastAsia="es-CL"/>
        </w:rPr>
        <w:t>La sistemática de los delitos de lesiones en el Código Penal</w:t>
      </w:r>
      <w:bookmarkEnd w:id="1"/>
      <w:r w:rsidRPr="002D0356">
        <w:rPr>
          <w:rFonts w:ascii="Calibri" w:eastAsia="Times New Roman" w:hAnsi="Calibri" w:cs="Arial"/>
          <w:b/>
          <w:bCs/>
          <w:color w:val="1F4E79" w:themeColor="accent1" w:themeShade="80"/>
          <w:lang w:eastAsia="es-CL"/>
        </w:rPr>
        <w:t xml:space="preserve"> </w:t>
      </w:r>
      <w:bookmarkStart w:id="2" w:name="_Toc188673047"/>
      <w:r w:rsidRPr="002D0356">
        <w:rPr>
          <w:rFonts w:ascii="Calibri" w:eastAsia="Times New Roman" w:hAnsi="Calibri" w:cs="Arial"/>
          <w:b/>
          <w:bCs/>
          <w:color w:val="1F4E79" w:themeColor="accent1" w:themeShade="80"/>
          <w:lang w:eastAsia="es-CL"/>
        </w:rPr>
        <w:t>y el régimen introducido por </w:t>
      </w:r>
      <w:bookmarkEnd w:id="2"/>
      <w:r w:rsidRPr="002D0356">
        <w:rPr>
          <w:rFonts w:ascii="Calibri" w:eastAsia="Times New Roman" w:hAnsi="Calibri" w:cs="Arial"/>
          <w:b/>
          <w:bCs/>
          <w:color w:val="1F4E79" w:themeColor="accent1" w:themeShade="80"/>
          <w:lang w:eastAsia="es-CL"/>
        </w:rPr>
        <w:t xml:space="preserve">la Ley N° 20.066 </w:t>
      </w:r>
      <w:bookmarkStart w:id="3" w:name="_Toc188673048"/>
      <w:r w:rsidRPr="002D0356">
        <w:rPr>
          <w:rFonts w:ascii="Calibri" w:eastAsia="Times New Roman" w:hAnsi="Calibri" w:cs="Arial"/>
          <w:b/>
          <w:bCs/>
          <w:color w:val="1F4E79" w:themeColor="accent1" w:themeShade="80"/>
          <w:lang w:eastAsia="es-CL"/>
        </w:rPr>
        <w:t>sobre Violencia Intrafamiliar</w:t>
      </w:r>
      <w:bookmarkEnd w:id="3"/>
      <w:r w:rsidR="00E57B8C">
        <w:rPr>
          <w:rFonts w:ascii="Calibri" w:eastAsia="Times New Roman" w:hAnsi="Calibri" w:cs="Arial"/>
          <w:b/>
          <w:bCs/>
          <w:color w:val="1F4E79" w:themeColor="accent1" w:themeShade="80"/>
          <w:lang w:eastAsia="es-CL"/>
        </w:rPr>
        <w:t>.</w:t>
      </w:r>
    </w:p>
    <w:p w:rsidR="00E57B8C" w:rsidRPr="002D0356" w:rsidRDefault="00E57B8C" w:rsidP="00655BBD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Calibri" w:hAnsi="Calibri"/>
          <w:b/>
          <w:bCs/>
          <w:color w:val="1F4E79" w:themeColor="accent1" w:themeShade="80"/>
        </w:rPr>
      </w:pPr>
      <w:hyperlink r:id="rId12" w:history="1">
        <w:r>
          <w:rPr>
            <w:rStyle w:val="Hipervnculo"/>
          </w:rPr>
          <w:t>https://www.dropbox.com/sh/y17h449a8cwh6dw/AAC3eGDcOQ9O83cz80tdPOK0a?dl=0</w:t>
        </w:r>
      </w:hyperlink>
    </w:p>
    <w:p w:rsidR="00C95397" w:rsidRPr="00D2527B" w:rsidRDefault="00C95397" w:rsidP="00C95397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Calibri" w:hAnsi="Calibri" w:cs="Calibri"/>
          <w:color w:val="000000"/>
        </w:rPr>
      </w:pPr>
      <w:r w:rsidRPr="00D2527B">
        <w:rPr>
          <w:rFonts w:ascii="Calibri" w:hAnsi="Calibri" w:cs="Calibri"/>
          <w:color w:val="000000"/>
        </w:rPr>
        <w:t>3) Ley N°</w:t>
      </w:r>
      <w:r w:rsidRPr="00EB7B65">
        <w:rPr>
          <w:rFonts w:ascii="Calibri" w:hAnsi="Calibri" w:cs="Calibri"/>
          <w:color w:val="000000"/>
        </w:rPr>
        <w:t xml:space="preserve"> 18.216, que establece un sistema de medidas alternativas a las penas privativas o restrictivas de libertad</w:t>
      </w:r>
      <w:r w:rsidRPr="00D2527B">
        <w:rPr>
          <w:rFonts w:ascii="Calibri" w:hAnsi="Calibri" w:cs="Calibri"/>
          <w:color w:val="000000"/>
        </w:rPr>
        <w:t xml:space="preserve">; </w:t>
      </w:r>
    </w:p>
    <w:p w:rsidR="00C95397" w:rsidRPr="002D0356" w:rsidRDefault="00C95397" w:rsidP="002D0356">
      <w:pPr>
        <w:tabs>
          <w:tab w:val="left" w:pos="6803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Arial"/>
          <w:b/>
          <w:color w:val="1F4E79" w:themeColor="accent1" w:themeShade="80"/>
        </w:rPr>
      </w:pPr>
      <w:r w:rsidRPr="002D0356">
        <w:rPr>
          <w:rFonts w:ascii="Calibri" w:hAnsi="Calibri" w:cs="Arial"/>
          <w:b/>
          <w:color w:val="1F4E79" w:themeColor="accent1" w:themeShade="80"/>
        </w:rPr>
        <w:t xml:space="preserve">Lectura: </w:t>
      </w:r>
    </w:p>
    <w:p w:rsidR="00C95397" w:rsidRPr="002D0356" w:rsidRDefault="00C95397" w:rsidP="002D0356">
      <w:pPr>
        <w:tabs>
          <w:tab w:val="left" w:pos="6803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Arial"/>
          <w:b/>
          <w:color w:val="1F4E79" w:themeColor="accent1" w:themeShade="80"/>
        </w:rPr>
      </w:pPr>
      <w:r w:rsidRPr="002D0356">
        <w:rPr>
          <w:rFonts w:ascii="Calibri" w:hAnsi="Calibri" w:cs="Arial"/>
          <w:b/>
          <w:color w:val="1F4E79" w:themeColor="accent1" w:themeShade="80"/>
        </w:rPr>
        <w:t>Ley N° 18.216</w:t>
      </w:r>
    </w:p>
    <w:p w:rsidR="00C95397" w:rsidRPr="002D0356" w:rsidRDefault="00C95397" w:rsidP="002D0356">
      <w:pPr>
        <w:tabs>
          <w:tab w:val="left" w:pos="6803"/>
        </w:tabs>
        <w:autoSpaceDE w:val="0"/>
        <w:autoSpaceDN w:val="0"/>
        <w:adjustRightInd w:val="0"/>
        <w:spacing w:after="0" w:line="360" w:lineRule="auto"/>
        <w:ind w:left="708"/>
        <w:jc w:val="both"/>
        <w:rPr>
          <w:rFonts w:ascii="Calibri" w:hAnsi="Calibri" w:cs="Calibri"/>
          <w:color w:val="1F4E79" w:themeColor="accent1" w:themeShade="80"/>
        </w:rPr>
      </w:pPr>
      <w:r w:rsidRPr="002D0356">
        <w:rPr>
          <w:rFonts w:ascii="Calibri" w:hAnsi="Calibri" w:cs="Arial"/>
          <w:b/>
          <w:color w:val="1F4E79" w:themeColor="accent1" w:themeShade="80"/>
        </w:rPr>
        <w:t>“P</w:t>
      </w:r>
      <w:r w:rsidRPr="002D0356">
        <w:rPr>
          <w:rFonts w:ascii="Calibri" w:hAnsi="Calibri" w:cs="Arial"/>
          <w:b/>
          <w:bCs/>
          <w:color w:val="1F4E79" w:themeColor="accent1" w:themeShade="80"/>
        </w:rPr>
        <w:t>enas Sustitutivas de la Ley N° 18.216. </w:t>
      </w:r>
      <w:r w:rsidRPr="002D0356">
        <w:rPr>
          <w:rStyle w:val="solext0"/>
          <w:rFonts w:ascii="Calibri" w:hAnsi="Calibri" w:cs="Arial"/>
          <w:b/>
          <w:bCs/>
          <w:color w:val="1F4E79" w:themeColor="accent1" w:themeShade="80"/>
        </w:rPr>
        <w:t>Minuta</w:t>
      </w:r>
      <w:r w:rsidRPr="002D0356">
        <w:rPr>
          <w:rFonts w:ascii="Calibri" w:hAnsi="Calibri" w:cs="Arial"/>
          <w:b/>
          <w:bCs/>
          <w:color w:val="1F4E79" w:themeColor="accent1" w:themeShade="80"/>
        </w:rPr>
        <w:t> N</w:t>
      </w:r>
      <w:r w:rsidRPr="002D0356">
        <w:rPr>
          <w:rStyle w:val="solext1"/>
          <w:rFonts w:ascii="Calibri" w:hAnsi="Calibri" w:cs="Arial"/>
          <w:b/>
          <w:bCs/>
          <w:color w:val="1F4E79" w:themeColor="accent1" w:themeShade="80"/>
        </w:rPr>
        <w:t>°2</w:t>
      </w:r>
      <w:r w:rsidRPr="002D0356">
        <w:rPr>
          <w:rFonts w:ascii="Calibri" w:hAnsi="Calibri" w:cs="Arial"/>
          <w:b/>
          <w:bCs/>
          <w:color w:val="1F4E79" w:themeColor="accent1" w:themeShade="80"/>
        </w:rPr>
        <w:t>/ </w:t>
      </w:r>
      <w:r w:rsidRPr="002D0356">
        <w:rPr>
          <w:rStyle w:val="solext2"/>
          <w:rFonts w:ascii="Calibri" w:hAnsi="Calibri" w:cs="Arial"/>
          <w:b/>
          <w:bCs/>
          <w:color w:val="1F4E79" w:themeColor="accent1" w:themeShade="80"/>
        </w:rPr>
        <w:t>2014</w:t>
      </w:r>
      <w:r w:rsidRPr="002D0356">
        <w:rPr>
          <w:rFonts w:ascii="Calibri" w:hAnsi="Calibri" w:cs="Arial"/>
          <w:b/>
          <w:bCs/>
          <w:color w:val="1F4E79" w:themeColor="accent1" w:themeShade="80"/>
        </w:rPr>
        <w:t>/ Enero Departamento de Es</w:t>
      </w:r>
      <w:r w:rsidR="00E57B8C">
        <w:rPr>
          <w:rFonts w:ascii="Calibri" w:hAnsi="Calibri" w:cs="Arial"/>
          <w:b/>
          <w:bCs/>
          <w:color w:val="1F4E79" w:themeColor="accent1" w:themeShade="80"/>
        </w:rPr>
        <w:t>tudios. Defensoría Nacional”.</w:t>
      </w:r>
    </w:p>
    <w:p w:rsidR="00C95397" w:rsidRPr="002D0356" w:rsidRDefault="00C95397" w:rsidP="002D0356">
      <w:pPr>
        <w:pStyle w:val="Default"/>
        <w:tabs>
          <w:tab w:val="left" w:pos="6803"/>
        </w:tabs>
        <w:spacing w:line="360" w:lineRule="auto"/>
        <w:ind w:left="360" w:firstLine="348"/>
        <w:jc w:val="both"/>
        <w:rPr>
          <w:color w:val="1F4E79" w:themeColor="accent1" w:themeShade="80"/>
          <w:sz w:val="22"/>
          <w:szCs w:val="22"/>
        </w:rPr>
      </w:pPr>
      <w:r w:rsidRPr="002D0356">
        <w:rPr>
          <w:color w:val="1F4E79" w:themeColor="accent1" w:themeShade="80"/>
          <w:sz w:val="22"/>
          <w:szCs w:val="22"/>
        </w:rPr>
        <w:t xml:space="preserve">4) </w:t>
      </w:r>
      <w:r w:rsidRPr="00E57B8C">
        <w:rPr>
          <w:color w:val="auto"/>
          <w:sz w:val="22"/>
          <w:szCs w:val="22"/>
        </w:rPr>
        <w:t xml:space="preserve">Ley N°18.314, que sanciona las conductas terroristas; </w:t>
      </w:r>
    </w:p>
    <w:p w:rsidR="00C95397" w:rsidRPr="002D0356" w:rsidRDefault="00C95397" w:rsidP="002D0356">
      <w:pPr>
        <w:tabs>
          <w:tab w:val="left" w:pos="6803"/>
        </w:tabs>
        <w:spacing w:after="0" w:line="360" w:lineRule="auto"/>
        <w:ind w:left="705"/>
        <w:jc w:val="both"/>
        <w:rPr>
          <w:rFonts w:ascii="Calibri" w:eastAsia="Calibri" w:hAnsi="Calibri" w:cs="Arial"/>
          <w:b/>
          <w:color w:val="1F4E79" w:themeColor="accent1" w:themeShade="80"/>
        </w:rPr>
      </w:pPr>
      <w:r w:rsidRPr="002D0356">
        <w:rPr>
          <w:rFonts w:ascii="Calibri" w:hAnsi="Calibri" w:cs="Arial"/>
          <w:b/>
          <w:color w:val="1F4E79" w:themeColor="accent1" w:themeShade="80"/>
        </w:rPr>
        <w:t>Lectura: ley N° 18.314</w:t>
      </w:r>
    </w:p>
    <w:p w:rsidR="00C95397" w:rsidRPr="002D0356" w:rsidRDefault="00C95397" w:rsidP="002D0356">
      <w:pPr>
        <w:pStyle w:val="Default"/>
        <w:tabs>
          <w:tab w:val="left" w:pos="6803"/>
        </w:tabs>
        <w:spacing w:line="360" w:lineRule="auto"/>
        <w:ind w:left="360" w:firstLine="348"/>
        <w:jc w:val="both"/>
        <w:rPr>
          <w:color w:val="1F4E79" w:themeColor="accent1" w:themeShade="80"/>
          <w:sz w:val="22"/>
          <w:szCs w:val="22"/>
        </w:rPr>
      </w:pPr>
      <w:r w:rsidRPr="002D0356">
        <w:rPr>
          <w:color w:val="1F4E79" w:themeColor="accent1" w:themeShade="80"/>
          <w:sz w:val="22"/>
          <w:szCs w:val="22"/>
        </w:rPr>
        <w:t xml:space="preserve">5) </w:t>
      </w:r>
      <w:r w:rsidRPr="00E57B8C">
        <w:rPr>
          <w:color w:val="auto"/>
          <w:sz w:val="22"/>
          <w:szCs w:val="22"/>
        </w:rPr>
        <w:t xml:space="preserve">Ley N° 18.290, de tránsito </w:t>
      </w:r>
    </w:p>
    <w:p w:rsidR="00C95397" w:rsidRPr="002D0356" w:rsidRDefault="00C95397" w:rsidP="002D0356">
      <w:pPr>
        <w:tabs>
          <w:tab w:val="left" w:pos="6803"/>
        </w:tabs>
        <w:spacing w:after="0" w:line="360" w:lineRule="auto"/>
        <w:ind w:left="705"/>
        <w:jc w:val="both"/>
        <w:rPr>
          <w:rFonts w:ascii="Calibri" w:hAnsi="Calibri" w:cs="Arial"/>
          <w:b/>
          <w:bCs/>
          <w:color w:val="1F4E79" w:themeColor="accent1" w:themeShade="80"/>
        </w:rPr>
      </w:pPr>
      <w:r w:rsidRPr="002D0356">
        <w:rPr>
          <w:rFonts w:ascii="Calibri" w:hAnsi="Calibri" w:cs="Arial"/>
          <w:b/>
          <w:color w:val="1F4E79" w:themeColor="accent1" w:themeShade="80"/>
        </w:rPr>
        <w:t xml:space="preserve">Lectura: </w:t>
      </w:r>
    </w:p>
    <w:p w:rsidR="00C95397" w:rsidRPr="002D0356" w:rsidRDefault="00C95397" w:rsidP="002D0356">
      <w:pPr>
        <w:tabs>
          <w:tab w:val="left" w:pos="6803"/>
        </w:tabs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Calibri" w:hAnsi="Calibri" w:cs="Arial"/>
          <w:b/>
          <w:bCs/>
          <w:color w:val="1F4E79" w:themeColor="accent1" w:themeShade="80"/>
        </w:rPr>
      </w:pPr>
      <w:r w:rsidRPr="002D0356">
        <w:rPr>
          <w:rFonts w:ascii="Calibri" w:hAnsi="Calibri" w:cs="Arial"/>
          <w:b/>
          <w:bCs/>
          <w:color w:val="1F4E79" w:themeColor="accent1" w:themeShade="80"/>
        </w:rPr>
        <w:t>Ley 18.290</w:t>
      </w:r>
    </w:p>
    <w:p w:rsidR="00C95397" w:rsidRPr="002D0356" w:rsidRDefault="00C95397" w:rsidP="002D0356">
      <w:pPr>
        <w:tabs>
          <w:tab w:val="left" w:pos="6803"/>
        </w:tabs>
        <w:autoSpaceDE w:val="0"/>
        <w:autoSpaceDN w:val="0"/>
        <w:adjustRightInd w:val="0"/>
        <w:spacing w:after="0" w:line="360" w:lineRule="auto"/>
        <w:ind w:left="708" w:hanging="3"/>
        <w:jc w:val="both"/>
        <w:rPr>
          <w:rFonts w:ascii="Calibri" w:hAnsi="Calibri" w:cs="Arial"/>
          <w:b/>
          <w:bCs/>
          <w:color w:val="1F4E79" w:themeColor="accent1" w:themeShade="80"/>
        </w:rPr>
      </w:pPr>
      <w:r w:rsidRPr="002D0356">
        <w:rPr>
          <w:rFonts w:ascii="Calibri" w:hAnsi="Calibri" w:cs="Arial"/>
          <w:b/>
          <w:bCs/>
          <w:color w:val="1F4E79" w:themeColor="accent1" w:themeShade="80"/>
        </w:rPr>
        <w:t>Análisis de las modificaciones introducidas por la ley N° 20.770 (“Ley Emilia”) a la Ley del </w:t>
      </w:r>
      <w:r w:rsidRPr="002D0356">
        <w:rPr>
          <w:rStyle w:val="solext0"/>
          <w:rFonts w:ascii="Calibri" w:hAnsi="Calibri" w:cs="Arial"/>
          <w:b/>
          <w:bCs/>
          <w:color w:val="1F4E79" w:themeColor="accent1" w:themeShade="80"/>
        </w:rPr>
        <w:t>Tránsito</w:t>
      </w:r>
      <w:r w:rsidRPr="002D0356">
        <w:rPr>
          <w:rFonts w:ascii="Calibri" w:hAnsi="Calibri" w:cs="Arial"/>
          <w:b/>
          <w:bCs/>
          <w:color w:val="1F4E79" w:themeColor="accent1" w:themeShade="80"/>
        </w:rPr>
        <w:t> y al Decreto Ley N° 321 Minuta N° 15 / 2014 / Diciembre. Departamento de E</w:t>
      </w:r>
      <w:r w:rsidR="00E57B8C">
        <w:rPr>
          <w:rFonts w:ascii="Calibri" w:hAnsi="Calibri" w:cs="Arial"/>
          <w:b/>
          <w:bCs/>
          <w:color w:val="1F4E79" w:themeColor="accent1" w:themeShade="80"/>
        </w:rPr>
        <w:t>studios. Defensoría Nacional.</w:t>
      </w:r>
    </w:p>
    <w:p w:rsidR="00C95397" w:rsidRPr="002D0356" w:rsidRDefault="00C95397" w:rsidP="002D0356">
      <w:pPr>
        <w:tabs>
          <w:tab w:val="left" w:pos="6803"/>
        </w:tabs>
        <w:autoSpaceDE w:val="0"/>
        <w:autoSpaceDN w:val="0"/>
        <w:adjustRightInd w:val="0"/>
        <w:spacing w:after="0" w:line="360" w:lineRule="auto"/>
        <w:ind w:left="708" w:hanging="3"/>
        <w:jc w:val="both"/>
        <w:rPr>
          <w:rFonts w:ascii="Calibri" w:hAnsi="Calibri" w:cs="Arial"/>
          <w:b/>
          <w:color w:val="1F4E79" w:themeColor="accent1" w:themeShade="80"/>
        </w:rPr>
      </w:pPr>
      <w:r w:rsidRPr="002D0356">
        <w:rPr>
          <w:rFonts w:ascii="Calibri" w:hAnsi="Calibri" w:cs="Arial"/>
          <w:b/>
          <w:bCs/>
          <w:color w:val="1F4E79" w:themeColor="accent1" w:themeShade="80"/>
        </w:rPr>
        <w:t xml:space="preserve">Consulta relativa a interpretación del tipo penal del artículo 195 de la Ley de Tránsito </w:t>
      </w:r>
      <w:r w:rsidRPr="002D0356">
        <w:rPr>
          <w:rFonts w:ascii="Calibri" w:hAnsi="Calibri" w:cs="Arial"/>
          <w:b/>
          <w:color w:val="1F4E79" w:themeColor="accent1" w:themeShade="80"/>
        </w:rPr>
        <w:t> </w:t>
      </w:r>
      <w:r w:rsidR="00E57B8C">
        <w:rPr>
          <w:rFonts w:ascii="Calibri" w:hAnsi="Calibri" w:cs="Arial"/>
          <w:b/>
          <w:bCs/>
          <w:color w:val="1F4E79" w:themeColor="accent1" w:themeShade="80"/>
        </w:rPr>
        <w:t>C03-2016.</w:t>
      </w:r>
    </w:p>
    <w:p w:rsidR="00C95397" w:rsidRPr="00EB7B65" w:rsidRDefault="00C95397" w:rsidP="00C95397">
      <w:pPr>
        <w:pStyle w:val="Default"/>
        <w:spacing w:line="360" w:lineRule="auto"/>
        <w:ind w:left="360" w:firstLine="348"/>
        <w:jc w:val="both"/>
        <w:rPr>
          <w:sz w:val="22"/>
          <w:szCs w:val="22"/>
        </w:rPr>
      </w:pPr>
      <w:r w:rsidRPr="00EB7B65">
        <w:rPr>
          <w:sz w:val="22"/>
          <w:szCs w:val="22"/>
        </w:rPr>
        <w:t xml:space="preserve">6) Ley N° 17.798, de control de armas; </w:t>
      </w:r>
    </w:p>
    <w:p w:rsidR="00C95397" w:rsidRPr="002D0356" w:rsidRDefault="00C95397" w:rsidP="00C95397">
      <w:pPr>
        <w:spacing w:after="0" w:line="360" w:lineRule="auto"/>
        <w:ind w:firstLine="708"/>
        <w:jc w:val="both"/>
        <w:rPr>
          <w:rFonts w:ascii="Calibri" w:eastAsia="Calibri" w:hAnsi="Calibri" w:cs="Arial"/>
          <w:b/>
          <w:color w:val="1F4E79" w:themeColor="accent1" w:themeShade="80"/>
        </w:rPr>
      </w:pPr>
      <w:r w:rsidRPr="002D0356">
        <w:rPr>
          <w:rFonts w:ascii="Calibri" w:hAnsi="Calibri" w:cs="Arial"/>
          <w:b/>
          <w:color w:val="1F4E79" w:themeColor="accent1" w:themeShade="80"/>
        </w:rPr>
        <w:t>Lectura: delitos de la ley de control de armas</w:t>
      </w:r>
    </w:p>
    <w:p w:rsidR="00C95397" w:rsidRPr="002D0356" w:rsidRDefault="00C95397" w:rsidP="00C95397">
      <w:pPr>
        <w:autoSpaceDE w:val="0"/>
        <w:autoSpaceDN w:val="0"/>
        <w:adjustRightInd w:val="0"/>
        <w:spacing w:after="0" w:line="360" w:lineRule="auto"/>
        <w:ind w:left="708" w:hanging="708"/>
        <w:jc w:val="both"/>
        <w:rPr>
          <w:rFonts w:ascii="Calibri" w:hAnsi="Calibri" w:cs="Arial"/>
          <w:b/>
          <w:bCs/>
          <w:color w:val="1F4E79" w:themeColor="accent1" w:themeShade="80"/>
          <w:u w:val="single"/>
        </w:rPr>
      </w:pPr>
      <w:r w:rsidRPr="002D0356">
        <w:rPr>
          <w:rFonts w:ascii="Calibri" w:eastAsia="Times New Roman" w:hAnsi="Calibri" w:cs="Arial"/>
          <w:b/>
          <w:color w:val="1F4E79" w:themeColor="accent1" w:themeShade="80"/>
          <w:lang w:eastAsia="es-CL"/>
        </w:rPr>
        <w:tab/>
      </w:r>
      <w:r w:rsidRPr="002D0356">
        <w:rPr>
          <w:rFonts w:ascii="Calibri" w:hAnsi="Calibri" w:cs="Arial"/>
          <w:b/>
          <w:bCs/>
          <w:color w:val="1F4E79" w:themeColor="accent1" w:themeShade="80"/>
        </w:rPr>
        <w:t>Minuta sobre las modificaciones introducidas a la Ley de Control de Armas (L</w:t>
      </w:r>
      <w:r w:rsidR="00E57B8C">
        <w:rPr>
          <w:rFonts w:ascii="Calibri" w:hAnsi="Calibri" w:cs="Arial"/>
          <w:b/>
          <w:bCs/>
          <w:color w:val="1F4E79" w:themeColor="accent1" w:themeShade="80"/>
        </w:rPr>
        <w:t>ey 17.798) por la Ley 20.813.</w:t>
      </w:r>
      <w:bookmarkStart w:id="4" w:name="_GoBack"/>
      <w:bookmarkEnd w:id="4"/>
    </w:p>
    <w:p w:rsidR="00C95397" w:rsidRPr="002D0356" w:rsidRDefault="00C95397" w:rsidP="00C95397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Calibri" w:hAnsi="Calibri" w:cs="Arial"/>
          <w:b/>
          <w:bCs/>
          <w:color w:val="1F4E79" w:themeColor="accent1" w:themeShade="80"/>
        </w:rPr>
      </w:pPr>
      <w:r w:rsidRPr="002D0356">
        <w:rPr>
          <w:rFonts w:ascii="Calibri" w:hAnsi="Calibri" w:cs="Arial"/>
          <w:b/>
          <w:bCs/>
          <w:color w:val="1F4E79" w:themeColor="accent1" w:themeShade="80"/>
        </w:rPr>
        <w:t xml:space="preserve">Fallos del Tribunal Constitucional N° 3109; 3120; 3134 y 3135, consultables en </w:t>
      </w:r>
      <w:hyperlink r:id="rId13" w:history="1">
        <w:r w:rsidRPr="002D0356">
          <w:rPr>
            <w:rStyle w:val="Hipervnculo"/>
            <w:rFonts w:ascii="Calibri" w:hAnsi="Calibri" w:cs="Arial"/>
            <w:b/>
            <w:bCs/>
            <w:color w:val="1F4E79" w:themeColor="accent1" w:themeShade="80"/>
          </w:rPr>
          <w:t>http://www,tribunalconstitucional.cl/</w:t>
        </w:r>
      </w:hyperlink>
    </w:p>
    <w:p w:rsidR="007118FD" w:rsidRPr="007118FD" w:rsidRDefault="00F7759F" w:rsidP="00AB506B">
      <w:pPr>
        <w:pStyle w:val="Prrafodelista"/>
        <w:spacing w:after="0" w:line="360" w:lineRule="auto"/>
        <w:jc w:val="both"/>
        <w:rPr>
          <w:rStyle w:val="Hipervnculo"/>
          <w:rFonts w:ascii="Calibri" w:hAnsi="Calibri"/>
          <w:color w:val="000000" w:themeColor="text1"/>
          <w:u w:val="none"/>
        </w:rPr>
      </w:pPr>
      <w:r>
        <w:rPr>
          <w:rStyle w:val="Hipervnculo"/>
          <w:rFonts w:ascii="Calibri" w:hAnsi="Calibri"/>
          <w:color w:val="000000" w:themeColor="text1"/>
          <w:u w:val="none"/>
        </w:rPr>
        <w:t>7</w:t>
      </w:r>
      <w:r w:rsidR="00AB506B">
        <w:rPr>
          <w:rStyle w:val="Hipervnculo"/>
          <w:rFonts w:ascii="Calibri" w:hAnsi="Calibri"/>
          <w:color w:val="000000" w:themeColor="text1"/>
          <w:u w:val="none"/>
        </w:rPr>
        <w:t xml:space="preserve">) </w:t>
      </w:r>
      <w:r w:rsidR="007118FD" w:rsidRPr="007118FD">
        <w:rPr>
          <w:rStyle w:val="Hipervnculo"/>
          <w:rFonts w:ascii="Calibri" w:hAnsi="Calibri"/>
          <w:color w:val="000000" w:themeColor="text1"/>
          <w:u w:val="none"/>
        </w:rPr>
        <w:t>Ley N° 19.327, que fija normas para prevención y sanción de hechos de violencia en recintos deportivos con ocasión de espectáculos de futbol profesional</w:t>
      </w:r>
    </w:p>
    <w:p w:rsidR="007118FD" w:rsidRPr="002D0356" w:rsidRDefault="007118FD" w:rsidP="007118FD">
      <w:pPr>
        <w:pStyle w:val="Prrafodelista"/>
        <w:spacing w:after="0" w:line="360" w:lineRule="auto"/>
        <w:jc w:val="both"/>
        <w:rPr>
          <w:rFonts w:ascii="Calibri" w:hAnsi="Calibri"/>
          <w:b/>
          <w:color w:val="1F4E79" w:themeColor="accent1" w:themeShade="80"/>
        </w:rPr>
      </w:pPr>
      <w:r w:rsidRPr="002D0356">
        <w:rPr>
          <w:rFonts w:ascii="Calibri" w:hAnsi="Calibri"/>
          <w:b/>
          <w:color w:val="1F4E79" w:themeColor="accent1" w:themeShade="80"/>
        </w:rPr>
        <w:t>Lectura:</w:t>
      </w:r>
    </w:p>
    <w:p w:rsidR="007118FD" w:rsidRPr="002D0356" w:rsidRDefault="007118FD" w:rsidP="007118FD">
      <w:pPr>
        <w:pStyle w:val="Prrafodelista"/>
        <w:spacing w:after="0" w:line="360" w:lineRule="auto"/>
        <w:jc w:val="both"/>
        <w:rPr>
          <w:rStyle w:val="Hipervnculo"/>
          <w:rFonts w:ascii="Calibri" w:hAnsi="Calibri"/>
          <w:b/>
          <w:color w:val="1F4E79" w:themeColor="accent1" w:themeShade="80"/>
          <w:u w:val="none"/>
        </w:rPr>
      </w:pPr>
      <w:r w:rsidRPr="002D0356">
        <w:rPr>
          <w:rStyle w:val="Hipervnculo"/>
          <w:rFonts w:ascii="Calibri" w:hAnsi="Calibri"/>
          <w:b/>
          <w:color w:val="1F4E79" w:themeColor="accent1" w:themeShade="80"/>
          <w:u w:val="none"/>
        </w:rPr>
        <w:t>Ley 19.327</w:t>
      </w:r>
    </w:p>
    <w:p w:rsidR="00AB506B" w:rsidRDefault="00F7759F" w:rsidP="00AB506B">
      <w:pPr>
        <w:spacing w:after="0" w:line="360" w:lineRule="auto"/>
        <w:ind w:left="720"/>
        <w:jc w:val="both"/>
        <w:rPr>
          <w:rStyle w:val="Hipervnculo"/>
          <w:rFonts w:ascii="Calibri" w:hAnsi="Calibri"/>
          <w:color w:val="000000" w:themeColor="text1"/>
          <w:u w:val="none"/>
        </w:rPr>
      </w:pPr>
      <w:r>
        <w:rPr>
          <w:rStyle w:val="Hipervnculo"/>
          <w:rFonts w:ascii="Calibri" w:hAnsi="Calibri"/>
          <w:color w:val="000000" w:themeColor="text1"/>
          <w:u w:val="none"/>
        </w:rPr>
        <w:t>8</w:t>
      </w:r>
      <w:r w:rsidR="00AB506B" w:rsidRPr="00C95397">
        <w:rPr>
          <w:rStyle w:val="Hipervnculo"/>
          <w:rFonts w:ascii="Calibri" w:hAnsi="Calibri"/>
          <w:color w:val="000000" w:themeColor="text1"/>
          <w:u w:val="none"/>
        </w:rPr>
        <w:t xml:space="preserve">) </w:t>
      </w:r>
      <w:r w:rsidR="00AB506B">
        <w:rPr>
          <w:rStyle w:val="Hipervnculo"/>
          <w:rFonts w:ascii="Calibri" w:hAnsi="Calibri"/>
          <w:color w:val="000000" w:themeColor="text1"/>
          <w:u w:val="none"/>
        </w:rPr>
        <w:t>S</w:t>
      </w:r>
      <w:r w:rsidR="00AB506B" w:rsidRPr="00C95397">
        <w:rPr>
          <w:rStyle w:val="Hipervnculo"/>
          <w:rFonts w:ascii="Calibri" w:hAnsi="Calibri"/>
          <w:color w:val="000000" w:themeColor="text1"/>
          <w:u w:val="none"/>
        </w:rPr>
        <w:t>istema nacional de registros de ADN</w:t>
      </w:r>
      <w:r w:rsidR="00AB506B">
        <w:rPr>
          <w:rStyle w:val="Hipervnculo"/>
          <w:rFonts w:ascii="Calibri" w:hAnsi="Calibri"/>
          <w:color w:val="000000" w:themeColor="text1"/>
          <w:u w:val="none"/>
        </w:rPr>
        <w:t>:</w:t>
      </w:r>
    </w:p>
    <w:p w:rsidR="00AB506B" w:rsidRPr="002D0356" w:rsidRDefault="00AB506B" w:rsidP="00AB506B">
      <w:pPr>
        <w:pStyle w:val="Prrafodelista"/>
        <w:spacing w:after="0" w:line="360" w:lineRule="auto"/>
        <w:ind w:left="0"/>
        <w:jc w:val="both"/>
        <w:rPr>
          <w:rFonts w:ascii="Calibri" w:hAnsi="Calibri"/>
          <w:b/>
          <w:color w:val="1F4E79" w:themeColor="accent1" w:themeShade="80"/>
        </w:rPr>
      </w:pPr>
      <w:r w:rsidRPr="00B1378D">
        <w:rPr>
          <w:rStyle w:val="Hipervnculo"/>
          <w:rFonts w:ascii="Calibri" w:hAnsi="Calibri"/>
          <w:color w:val="1F4E79" w:themeColor="accent1" w:themeShade="80"/>
          <w:u w:val="none"/>
        </w:rPr>
        <w:tab/>
      </w:r>
      <w:r w:rsidRPr="002D0356">
        <w:rPr>
          <w:rFonts w:ascii="Calibri" w:hAnsi="Calibri"/>
          <w:b/>
          <w:color w:val="1F4E79" w:themeColor="accent1" w:themeShade="80"/>
        </w:rPr>
        <w:t>Lectura:</w:t>
      </w:r>
    </w:p>
    <w:p w:rsidR="00AB506B" w:rsidRPr="002D0356" w:rsidRDefault="00AB506B" w:rsidP="00AB506B">
      <w:pPr>
        <w:spacing w:after="0" w:line="360" w:lineRule="auto"/>
        <w:ind w:left="720"/>
        <w:jc w:val="both"/>
        <w:rPr>
          <w:rStyle w:val="Hipervnculo"/>
          <w:rFonts w:ascii="Calibri" w:hAnsi="Calibri"/>
          <w:b/>
          <w:color w:val="1F4E79" w:themeColor="accent1" w:themeShade="80"/>
          <w:u w:val="none"/>
        </w:rPr>
      </w:pPr>
      <w:r w:rsidRPr="002D0356">
        <w:rPr>
          <w:rStyle w:val="Hipervnculo"/>
          <w:rFonts w:ascii="Calibri" w:hAnsi="Calibri"/>
          <w:b/>
          <w:color w:val="1F4E79" w:themeColor="accent1" w:themeShade="80"/>
          <w:u w:val="none"/>
        </w:rPr>
        <w:t>Ley 19.970 que crea el crea el sistema nacional de registros de ADN</w:t>
      </w:r>
      <w:r w:rsidR="00E57B8C">
        <w:rPr>
          <w:rStyle w:val="Hipervnculo"/>
          <w:rFonts w:ascii="Calibri" w:hAnsi="Calibri"/>
          <w:b/>
          <w:color w:val="1F4E79" w:themeColor="accent1" w:themeShade="80"/>
          <w:u w:val="none"/>
        </w:rPr>
        <w:t>.</w:t>
      </w:r>
    </w:p>
    <w:p w:rsidR="00AB506B" w:rsidRPr="00E57B8C" w:rsidRDefault="00E57B8C" w:rsidP="00C95397">
      <w:pPr>
        <w:pStyle w:val="Default"/>
        <w:spacing w:line="360" w:lineRule="auto"/>
        <w:ind w:left="708"/>
        <w:jc w:val="both"/>
        <w:rPr>
          <w:b/>
          <w:color w:val="1F4E79" w:themeColor="accent1" w:themeShade="80"/>
          <w:sz w:val="20"/>
          <w:szCs w:val="22"/>
        </w:rPr>
      </w:pPr>
      <w:hyperlink r:id="rId14" w:history="1">
        <w:r w:rsidRPr="00E57B8C">
          <w:rPr>
            <w:rStyle w:val="Hipervnculo"/>
            <w:sz w:val="22"/>
          </w:rPr>
          <w:t>https://www.dropbox.com/sh/y17h449a8cwh6dw/AAC3eGDcOQ9O83cz80tdPOK0a?dl=0</w:t>
        </w:r>
      </w:hyperlink>
    </w:p>
    <w:p w:rsidR="00C95397" w:rsidRPr="00EB7B65" w:rsidRDefault="00C95397" w:rsidP="00C95397">
      <w:pPr>
        <w:pStyle w:val="Default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</w:rPr>
      </w:pPr>
      <w:r w:rsidRPr="00EB7B65">
        <w:rPr>
          <w:b/>
          <w:bCs/>
          <w:sz w:val="22"/>
          <w:szCs w:val="22"/>
        </w:rPr>
        <w:t xml:space="preserve"> </w:t>
      </w:r>
      <w:r w:rsidRPr="00EB7B65">
        <w:rPr>
          <w:b/>
          <w:bCs/>
          <w:sz w:val="22"/>
          <w:szCs w:val="22"/>
          <w:u w:val="single"/>
        </w:rPr>
        <w:t>Sistema de Protección de Derechos Humanos</w:t>
      </w:r>
      <w:r w:rsidRPr="00EB7B65">
        <w:rPr>
          <w:b/>
          <w:bCs/>
          <w:sz w:val="22"/>
          <w:szCs w:val="22"/>
        </w:rPr>
        <w:t xml:space="preserve">: </w:t>
      </w:r>
      <w:r w:rsidRPr="00EB7B65">
        <w:rPr>
          <w:bCs/>
          <w:sz w:val="22"/>
          <w:szCs w:val="22"/>
        </w:rPr>
        <w:t>Convención Americana de Derechos Humanos y control de convencionalidad.</w:t>
      </w:r>
    </w:p>
    <w:p w:rsidR="00C95397" w:rsidRPr="002D0356" w:rsidRDefault="00C95397" w:rsidP="00C95397">
      <w:pPr>
        <w:pStyle w:val="Default"/>
        <w:spacing w:line="360" w:lineRule="auto"/>
        <w:ind w:left="360" w:firstLine="348"/>
        <w:jc w:val="both"/>
        <w:rPr>
          <w:rFonts w:cs="Arial"/>
          <w:b/>
          <w:color w:val="1F4E79" w:themeColor="accent1" w:themeShade="80"/>
          <w:sz w:val="22"/>
          <w:szCs w:val="22"/>
        </w:rPr>
      </w:pPr>
      <w:r w:rsidRPr="002D0356">
        <w:rPr>
          <w:rFonts w:cs="Arial"/>
          <w:b/>
          <w:color w:val="1F4E79" w:themeColor="accent1" w:themeShade="80"/>
          <w:sz w:val="22"/>
          <w:szCs w:val="22"/>
        </w:rPr>
        <w:t>Lectura:</w:t>
      </w:r>
    </w:p>
    <w:p w:rsidR="00C95397" w:rsidRPr="002D0356" w:rsidRDefault="00C95397" w:rsidP="00C95397">
      <w:pPr>
        <w:pStyle w:val="Prrafodelista"/>
        <w:spacing w:after="0" w:line="360" w:lineRule="auto"/>
        <w:jc w:val="both"/>
        <w:rPr>
          <w:rStyle w:val="Hipervnculo"/>
          <w:rFonts w:ascii="Calibri" w:hAnsi="Calibri"/>
          <w:b/>
          <w:color w:val="1F4E79" w:themeColor="accent1" w:themeShade="80"/>
        </w:rPr>
      </w:pPr>
      <w:r w:rsidRPr="002D0356">
        <w:rPr>
          <w:rFonts w:ascii="Calibri" w:hAnsi="Calibri"/>
          <w:b/>
          <w:color w:val="1F4E79" w:themeColor="accent1" w:themeShade="80"/>
        </w:rPr>
        <w:t>Minuta sobre “Recurso de nulidad y derechos fundamentales a la luz de la jurisprudencia de l</w:t>
      </w:r>
      <w:r w:rsidR="00E57B8C">
        <w:rPr>
          <w:rFonts w:ascii="Calibri" w:hAnsi="Calibri"/>
          <w:b/>
          <w:color w:val="1F4E79" w:themeColor="accent1" w:themeShade="80"/>
        </w:rPr>
        <w:t>a Corte Suprema”.</w:t>
      </w:r>
    </w:p>
    <w:p w:rsidR="00C95397" w:rsidRPr="002D0356" w:rsidRDefault="00C95397" w:rsidP="00C95397">
      <w:pPr>
        <w:pStyle w:val="Prrafodelista"/>
        <w:spacing w:after="0" w:line="360" w:lineRule="auto"/>
        <w:jc w:val="both"/>
        <w:rPr>
          <w:rFonts w:ascii="Calibri" w:hAnsi="Calibri"/>
          <w:b/>
          <w:color w:val="1F4E79" w:themeColor="accent1" w:themeShade="80"/>
        </w:rPr>
      </w:pPr>
      <w:r w:rsidRPr="002D0356">
        <w:rPr>
          <w:rFonts w:ascii="Calibri" w:hAnsi="Calibri"/>
          <w:b/>
          <w:color w:val="1F4E79" w:themeColor="accent1" w:themeShade="80"/>
        </w:rPr>
        <w:t>Minuta de apoyo para audiencias: “Sistemati</w:t>
      </w:r>
      <w:r w:rsidR="00E57B8C">
        <w:rPr>
          <w:rFonts w:ascii="Calibri" w:hAnsi="Calibri"/>
          <w:b/>
          <w:color w:val="1F4E79" w:themeColor="accent1" w:themeShade="80"/>
        </w:rPr>
        <w:t>zación de fallos relevantes”.</w:t>
      </w:r>
    </w:p>
    <w:p w:rsidR="00C95397" w:rsidRPr="002D0356" w:rsidRDefault="00C95397" w:rsidP="00C95397">
      <w:pPr>
        <w:pStyle w:val="Prrafodelista"/>
        <w:spacing w:after="0" w:line="360" w:lineRule="auto"/>
        <w:jc w:val="both"/>
        <w:rPr>
          <w:rFonts w:ascii="Calibri" w:hAnsi="Calibri"/>
          <w:b/>
          <w:color w:val="1F4E79" w:themeColor="accent1" w:themeShade="80"/>
        </w:rPr>
      </w:pPr>
      <w:r w:rsidRPr="002D0356">
        <w:rPr>
          <w:rFonts w:ascii="Calibri" w:hAnsi="Calibri"/>
          <w:b/>
          <w:color w:val="1F4E79" w:themeColor="accent1" w:themeShade="80"/>
        </w:rPr>
        <w:t>Nash Rojas, Claudio, El sistema Interamericano de Derechos Humanos en Acción. Aciertos y desafíos; Ed. Porrúa, 2009</w:t>
      </w:r>
    </w:p>
    <w:p w:rsidR="009D406F" w:rsidRPr="00EB7B65" w:rsidRDefault="009D406F" w:rsidP="009D406F">
      <w:pPr>
        <w:pStyle w:val="Prrafodelista"/>
        <w:spacing w:after="0" w:line="360" w:lineRule="auto"/>
        <w:jc w:val="both"/>
        <w:rPr>
          <w:rFonts w:ascii="Calibri" w:hAnsi="Calibri"/>
          <w:b/>
          <w:color w:val="0070C0"/>
        </w:rPr>
      </w:pPr>
    </w:p>
    <w:p w:rsidR="009D406F" w:rsidRPr="007118FD" w:rsidRDefault="009D406F" w:rsidP="009D406F">
      <w:pPr>
        <w:pStyle w:val="Default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EB7B65">
        <w:rPr>
          <w:b/>
          <w:bCs/>
          <w:color w:val="000000" w:themeColor="text1"/>
          <w:sz w:val="22"/>
          <w:szCs w:val="22"/>
        </w:rPr>
        <w:t xml:space="preserve"> </w:t>
      </w:r>
      <w:r w:rsidRPr="00EB7B65">
        <w:rPr>
          <w:b/>
          <w:bCs/>
          <w:color w:val="000000" w:themeColor="text1"/>
          <w:sz w:val="22"/>
          <w:szCs w:val="22"/>
          <w:u w:val="single"/>
        </w:rPr>
        <w:t>Normativa del Sector Público:</w:t>
      </w:r>
      <w:r w:rsidRPr="00EB7B65">
        <w:rPr>
          <w:color w:val="000000" w:themeColor="text1"/>
          <w:sz w:val="22"/>
          <w:szCs w:val="22"/>
        </w:rPr>
        <w:t xml:space="preserve"> </w:t>
      </w:r>
    </w:p>
    <w:p w:rsidR="009D406F" w:rsidRDefault="009D406F" w:rsidP="009D406F">
      <w:pPr>
        <w:pStyle w:val="Default"/>
        <w:spacing w:line="360" w:lineRule="auto"/>
        <w:ind w:left="1080"/>
        <w:jc w:val="both"/>
        <w:rPr>
          <w:color w:val="000000" w:themeColor="text1"/>
          <w:sz w:val="22"/>
          <w:szCs w:val="22"/>
        </w:rPr>
      </w:pPr>
      <w:r w:rsidRPr="00EB7B65">
        <w:rPr>
          <w:color w:val="000000" w:themeColor="text1"/>
          <w:sz w:val="22"/>
          <w:szCs w:val="22"/>
        </w:rPr>
        <w:t>Ley Nº 19.718, que cr</w:t>
      </w:r>
      <w:r>
        <w:rPr>
          <w:color w:val="000000" w:themeColor="text1"/>
          <w:sz w:val="22"/>
          <w:szCs w:val="22"/>
        </w:rPr>
        <w:t>ea la Defensoría Penal Pública.</w:t>
      </w:r>
    </w:p>
    <w:p w:rsidR="009D406F" w:rsidRDefault="009D406F" w:rsidP="009D406F">
      <w:pPr>
        <w:pStyle w:val="Default"/>
        <w:spacing w:line="360" w:lineRule="auto"/>
        <w:ind w:left="108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Ley N° 19.880, que establece bases de los procedimientos administrativos que rigen los actos de los órganos de la Administración del Estado.</w:t>
      </w:r>
    </w:p>
    <w:p w:rsidR="009D406F" w:rsidRDefault="009D406F" w:rsidP="009D406F">
      <w:pPr>
        <w:pStyle w:val="Default"/>
        <w:spacing w:line="360" w:lineRule="auto"/>
        <w:ind w:left="108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Decreto con Fuer</w:t>
      </w:r>
      <w:r w:rsidR="003515B9">
        <w:rPr>
          <w:color w:val="000000" w:themeColor="text1"/>
          <w:sz w:val="22"/>
          <w:szCs w:val="22"/>
        </w:rPr>
        <w:t>z</w:t>
      </w:r>
      <w:r>
        <w:rPr>
          <w:color w:val="000000" w:themeColor="text1"/>
          <w:sz w:val="22"/>
          <w:szCs w:val="22"/>
        </w:rPr>
        <w:t>a de Ley N° 29 del Ministerio de Hacienda de 2004 que fija el texto refundido, coordinado y sistematizado de la Ley N° 18.834, sobre Estatuto Administrativo.</w:t>
      </w:r>
    </w:p>
    <w:p w:rsidR="009D406F" w:rsidRDefault="009D406F" w:rsidP="009D406F">
      <w:pPr>
        <w:pStyle w:val="Default"/>
        <w:spacing w:line="360" w:lineRule="auto"/>
        <w:ind w:left="1080"/>
        <w:jc w:val="both"/>
        <w:rPr>
          <w:b/>
          <w:color w:val="1F4E79" w:themeColor="accent1" w:themeShade="80"/>
          <w:sz w:val="22"/>
          <w:szCs w:val="22"/>
        </w:rPr>
      </w:pPr>
      <w:r w:rsidRPr="002D0356">
        <w:rPr>
          <w:b/>
          <w:color w:val="1F4E79" w:themeColor="accent1" w:themeShade="80"/>
          <w:sz w:val="22"/>
          <w:szCs w:val="22"/>
        </w:rPr>
        <w:t>Lectura: Normas individualizadas en este acápite</w:t>
      </w:r>
    </w:p>
    <w:p w:rsidR="00E57B8C" w:rsidRPr="00E57B8C" w:rsidRDefault="00E57B8C" w:rsidP="00E57B8C">
      <w:pPr>
        <w:pStyle w:val="Default"/>
        <w:spacing w:line="360" w:lineRule="auto"/>
        <w:ind w:left="567"/>
        <w:jc w:val="both"/>
        <w:rPr>
          <w:color w:val="1F4E79" w:themeColor="accent1" w:themeShade="80"/>
          <w:sz w:val="20"/>
          <w:szCs w:val="22"/>
        </w:rPr>
      </w:pPr>
      <w:hyperlink r:id="rId15" w:history="1">
        <w:r w:rsidRPr="00E57B8C">
          <w:rPr>
            <w:rStyle w:val="Hipervnculo"/>
            <w:sz w:val="22"/>
          </w:rPr>
          <w:t>https://www.dropbox.com/sh/y17h449a8cwh6dw/AAC3eGDcOQ9O83cz80tdPOK0a?dl=0</w:t>
        </w:r>
      </w:hyperlink>
    </w:p>
    <w:p w:rsidR="009D406F" w:rsidRPr="002D0356" w:rsidRDefault="009D406F" w:rsidP="009D406F">
      <w:pPr>
        <w:spacing w:after="0" w:line="240" w:lineRule="auto"/>
        <w:jc w:val="both"/>
        <w:rPr>
          <w:color w:val="1F4E79" w:themeColor="accent1" w:themeShade="80"/>
        </w:rPr>
      </w:pPr>
    </w:p>
    <w:p w:rsidR="009D406F" w:rsidRPr="00C95397" w:rsidRDefault="009D406F" w:rsidP="009D406F">
      <w:pPr>
        <w:pStyle w:val="Prrafodelista"/>
        <w:numPr>
          <w:ilvl w:val="0"/>
          <w:numId w:val="3"/>
        </w:numPr>
        <w:spacing w:after="0" w:line="240" w:lineRule="auto"/>
        <w:jc w:val="both"/>
      </w:pPr>
      <w:r w:rsidRPr="00AB506B">
        <w:rPr>
          <w:b/>
          <w:u w:val="single"/>
        </w:rPr>
        <w:t>Desempeño de la Defensa</w:t>
      </w:r>
      <w:r>
        <w:rPr>
          <w:b/>
          <w:u w:val="single"/>
        </w:rPr>
        <w:t xml:space="preserve"> (Estándares y Manuales de Actuaciones Mínimas)</w:t>
      </w:r>
      <w:r w:rsidRPr="00AB506B">
        <w:rPr>
          <w:b/>
          <w:u w:val="single"/>
        </w:rPr>
        <w:t>:</w:t>
      </w:r>
    </w:p>
    <w:p w:rsidR="009D406F" w:rsidRPr="00C95397" w:rsidRDefault="009D406F" w:rsidP="009D406F">
      <w:pPr>
        <w:spacing w:after="0" w:line="240" w:lineRule="auto"/>
        <w:ind w:left="1003"/>
        <w:jc w:val="both"/>
        <w:rPr>
          <w:b/>
          <w:u w:val="single"/>
        </w:rPr>
      </w:pPr>
    </w:p>
    <w:p w:rsidR="00E01F69" w:rsidRDefault="009D406F" w:rsidP="00E01F69">
      <w:pPr>
        <w:autoSpaceDE w:val="0"/>
        <w:autoSpaceDN w:val="0"/>
        <w:adjustRightInd w:val="0"/>
        <w:spacing w:after="0" w:line="360" w:lineRule="auto"/>
        <w:ind w:left="708" w:hanging="708"/>
        <w:jc w:val="both"/>
        <w:rPr>
          <w:rFonts w:ascii="Calibri" w:hAnsi="Calibri" w:cs="Calibri"/>
        </w:rPr>
      </w:pPr>
      <w:r w:rsidRPr="00C95397">
        <w:rPr>
          <w:rFonts w:ascii="Calibri" w:hAnsi="Calibri" w:cs="Calibri"/>
          <w:b/>
          <w:color w:val="0070C0"/>
        </w:rPr>
        <w:tab/>
      </w:r>
      <w:r w:rsidR="00E01F69" w:rsidRPr="00E01F69">
        <w:rPr>
          <w:rFonts w:ascii="Calibri" w:hAnsi="Calibri" w:cs="Calibri"/>
        </w:rPr>
        <w:t>Resolución Exenta N°3389/2010, con todas sus modificaciones, que aprueba estándares básicos para el ejercicio de la defensa penal.</w:t>
      </w:r>
    </w:p>
    <w:p w:rsidR="00E01F69" w:rsidRDefault="00E01F69" w:rsidP="00E01F69">
      <w:pPr>
        <w:autoSpaceDE w:val="0"/>
        <w:autoSpaceDN w:val="0"/>
        <w:adjustRightInd w:val="0"/>
        <w:spacing w:after="0" w:line="360" w:lineRule="auto"/>
        <w:ind w:left="708" w:hanging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Resolución Exenta N° 153, del Defensor Nacional, de fecha 13 de abril de 2016, que establece Manual de Actuaciones Mínimas de Primeras Audiencias</w:t>
      </w:r>
    </w:p>
    <w:p w:rsidR="00E01F69" w:rsidRDefault="00E01F69" w:rsidP="00E01F69">
      <w:pPr>
        <w:autoSpaceDE w:val="0"/>
        <w:autoSpaceDN w:val="0"/>
        <w:adjustRightInd w:val="0"/>
        <w:spacing w:after="0" w:line="360" w:lineRule="auto"/>
        <w:ind w:left="708" w:hanging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Resolución Exenta N° 344, del Defensor Nacional, de fecha 10 de agosto de 2017, que establece Manual de Actuaciones Mínimas aplicables a las etapas de investigación, previa a la audiencia de preparación de juicio oral y durante su desarrollo.</w:t>
      </w:r>
    </w:p>
    <w:p w:rsidR="00E01F69" w:rsidRPr="00E01F69" w:rsidRDefault="00E01F69" w:rsidP="00E01F69">
      <w:pPr>
        <w:autoSpaceDE w:val="0"/>
        <w:autoSpaceDN w:val="0"/>
        <w:adjustRightInd w:val="0"/>
        <w:spacing w:after="0" w:line="360" w:lineRule="auto"/>
        <w:ind w:left="708" w:hanging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Resolución Exenta N° 345, del Defensor Nacional, de fecha 10 de agosto de 2017, que establece Manual de Actuaciones Mínimas aplicables a la etapa previa a la audiencia de juicio oral y durante su desarrollo.</w:t>
      </w:r>
    </w:p>
    <w:p w:rsidR="009D406F" w:rsidRPr="002D0356" w:rsidRDefault="009D406F" w:rsidP="00E01F6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b/>
          <w:color w:val="1F4E79" w:themeColor="accent1" w:themeShade="80"/>
        </w:rPr>
      </w:pPr>
      <w:r w:rsidRPr="002D0356">
        <w:rPr>
          <w:rFonts w:ascii="Calibri" w:hAnsi="Calibri" w:cs="Calibri"/>
          <w:b/>
          <w:color w:val="1F4E79" w:themeColor="accent1" w:themeShade="80"/>
        </w:rPr>
        <w:t xml:space="preserve">Lectura: </w:t>
      </w:r>
    </w:p>
    <w:p w:rsidR="009D406F" w:rsidRPr="002D0356" w:rsidRDefault="009D406F" w:rsidP="00E01F69">
      <w:pPr>
        <w:autoSpaceDE w:val="0"/>
        <w:autoSpaceDN w:val="0"/>
        <w:adjustRightInd w:val="0"/>
        <w:spacing w:after="0" w:line="360" w:lineRule="auto"/>
        <w:ind w:left="708" w:hanging="708"/>
        <w:jc w:val="both"/>
        <w:rPr>
          <w:rFonts w:ascii="Calibri" w:hAnsi="Calibri" w:cs="Calibri"/>
          <w:b/>
          <w:color w:val="1F4E79" w:themeColor="accent1" w:themeShade="80"/>
        </w:rPr>
      </w:pPr>
      <w:r w:rsidRPr="002D0356">
        <w:rPr>
          <w:rFonts w:ascii="Calibri" w:hAnsi="Calibri" w:cs="Calibri"/>
          <w:b/>
          <w:color w:val="1F4E79" w:themeColor="accent1" w:themeShade="80"/>
        </w:rPr>
        <w:tab/>
        <w:t xml:space="preserve">Resolución Exenta N°3389/2010, </w:t>
      </w:r>
      <w:r w:rsidR="00E01F69" w:rsidRPr="002D0356">
        <w:rPr>
          <w:rFonts w:ascii="Calibri" w:hAnsi="Calibri" w:cs="Calibri"/>
          <w:b/>
          <w:color w:val="1F4E79" w:themeColor="accent1" w:themeShade="80"/>
        </w:rPr>
        <w:t>con todas sus modificaciones</w:t>
      </w:r>
      <w:r w:rsidRPr="002D0356">
        <w:rPr>
          <w:rFonts w:ascii="Calibri" w:hAnsi="Calibri" w:cs="Calibri"/>
          <w:b/>
          <w:color w:val="1F4E79" w:themeColor="accent1" w:themeShade="80"/>
        </w:rPr>
        <w:t xml:space="preserve">, que aprueba estándares básicos para el ejercicio de la defensa penal pública  (disponible en </w:t>
      </w:r>
      <w:r w:rsidRPr="002D0356">
        <w:rPr>
          <w:rFonts w:ascii="Calibri" w:hAnsi="Calibri" w:cs="Calibri"/>
          <w:b/>
          <w:color w:val="1F4E79" w:themeColor="accent1" w:themeShade="80"/>
        </w:rPr>
        <w:tab/>
        <w:t xml:space="preserve">página web </w:t>
      </w:r>
      <w:hyperlink r:id="rId16" w:history="1">
        <w:r w:rsidRPr="002D0356">
          <w:rPr>
            <w:rFonts w:ascii="Calibri" w:hAnsi="Calibri" w:cs="Calibri"/>
            <w:b/>
            <w:color w:val="1F4E79" w:themeColor="accent1" w:themeShade="80"/>
            <w:u w:val="single"/>
          </w:rPr>
          <w:t>www.dpp.cl</w:t>
        </w:r>
      </w:hyperlink>
    </w:p>
    <w:p w:rsidR="00E01F69" w:rsidRPr="002D0356" w:rsidRDefault="00E01F69" w:rsidP="00E01F69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Calibri" w:hAnsi="Calibri" w:cs="Calibri"/>
          <w:b/>
          <w:color w:val="1F4E79" w:themeColor="accent1" w:themeShade="80"/>
        </w:rPr>
      </w:pPr>
      <w:r w:rsidRPr="002D0356">
        <w:rPr>
          <w:rFonts w:ascii="Calibri" w:hAnsi="Calibri" w:cs="Calibri"/>
          <w:b/>
          <w:color w:val="1F4E79" w:themeColor="accent1" w:themeShade="80"/>
        </w:rPr>
        <w:t>Resolución Exenta N° 153, del Defensor Nacional, de fecha 13 de abril de 2016, que establece Manual de Actuaciones Mínimas de Primeras Audiencias</w:t>
      </w:r>
    </w:p>
    <w:p w:rsidR="00E01F69" w:rsidRPr="002D0356" w:rsidRDefault="00E01F69" w:rsidP="00E01F69">
      <w:pPr>
        <w:autoSpaceDE w:val="0"/>
        <w:autoSpaceDN w:val="0"/>
        <w:adjustRightInd w:val="0"/>
        <w:spacing w:after="0" w:line="360" w:lineRule="auto"/>
        <w:ind w:left="708" w:hanging="708"/>
        <w:jc w:val="both"/>
        <w:rPr>
          <w:rFonts w:ascii="Calibri" w:hAnsi="Calibri" w:cs="Calibri"/>
          <w:b/>
          <w:color w:val="1F4E79" w:themeColor="accent1" w:themeShade="80"/>
        </w:rPr>
      </w:pPr>
      <w:r w:rsidRPr="002D0356">
        <w:rPr>
          <w:rFonts w:ascii="Calibri" w:hAnsi="Calibri" w:cs="Calibri"/>
          <w:b/>
          <w:color w:val="1F4E79" w:themeColor="accent1" w:themeShade="80"/>
        </w:rPr>
        <w:tab/>
        <w:t>Resolución Exenta N° 344, del Defensor Nacional, de fecha 10 de agosto de 2017, que establece Manual de Actuaciones Mínimas aplicables a las etapas de investigación, previa a la audiencia de preparación de juicio oral y durante su desarrollo.</w:t>
      </w:r>
    </w:p>
    <w:p w:rsidR="00E01F69" w:rsidRPr="002D0356" w:rsidRDefault="00E01F69" w:rsidP="00E01F69">
      <w:pPr>
        <w:autoSpaceDE w:val="0"/>
        <w:autoSpaceDN w:val="0"/>
        <w:adjustRightInd w:val="0"/>
        <w:spacing w:after="0" w:line="360" w:lineRule="auto"/>
        <w:ind w:left="708" w:hanging="708"/>
        <w:jc w:val="both"/>
        <w:rPr>
          <w:rFonts w:ascii="Calibri" w:hAnsi="Calibri" w:cs="Calibri"/>
          <w:b/>
          <w:color w:val="1F4E79" w:themeColor="accent1" w:themeShade="80"/>
        </w:rPr>
      </w:pPr>
      <w:r w:rsidRPr="002D0356">
        <w:rPr>
          <w:rFonts w:ascii="Calibri" w:hAnsi="Calibri" w:cs="Calibri"/>
          <w:b/>
          <w:color w:val="1F4E79" w:themeColor="accent1" w:themeShade="80"/>
        </w:rPr>
        <w:tab/>
        <w:t>Resolución Exenta N° 345, del Defensor Nacional, de fecha 10 de agosto de 2017, que establece Manual de Actuaciones Mínimas aplicables a la etapa previa a la audiencia de juicio oral y durante su desarrollo.</w:t>
      </w:r>
    </w:p>
    <w:p w:rsidR="003C7166" w:rsidRPr="002D0356" w:rsidRDefault="003C7166" w:rsidP="003C7166">
      <w:pPr>
        <w:pStyle w:val="Default"/>
        <w:spacing w:line="360" w:lineRule="auto"/>
        <w:ind w:left="1800"/>
        <w:jc w:val="both"/>
        <w:rPr>
          <w:color w:val="1F4E79" w:themeColor="accent1" w:themeShade="80"/>
          <w:sz w:val="22"/>
          <w:szCs w:val="22"/>
        </w:rPr>
      </w:pPr>
    </w:p>
    <w:p w:rsidR="003C7166" w:rsidRPr="003C7166" w:rsidRDefault="003C7166" w:rsidP="003C7166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</w:rPr>
      </w:pPr>
      <w:r w:rsidRPr="00AB506B">
        <w:rPr>
          <w:rFonts w:ascii="Calibri" w:hAnsi="Calibri" w:cs="Calibri"/>
          <w:b/>
          <w:bCs/>
          <w:color w:val="000000" w:themeColor="text1"/>
          <w:u w:val="single"/>
        </w:rPr>
        <w:t>Derecho Penitenciario Cerrado:</w:t>
      </w:r>
      <w:r w:rsidRPr="00AB506B">
        <w:rPr>
          <w:rFonts w:ascii="Calibri" w:hAnsi="Calibri" w:cs="Calibri"/>
          <w:color w:val="000000" w:themeColor="text1"/>
        </w:rPr>
        <w:t xml:space="preserve"> </w:t>
      </w:r>
    </w:p>
    <w:p w:rsidR="003C7166" w:rsidRDefault="003C7166" w:rsidP="003C7166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Ley de rebaja de condena</w:t>
      </w:r>
    </w:p>
    <w:p w:rsidR="003C7166" w:rsidRDefault="003C7166" w:rsidP="003C7166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Reglamento penitenciario</w:t>
      </w:r>
    </w:p>
    <w:p w:rsidR="003C7166" w:rsidRDefault="003C7166" w:rsidP="003C7166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Indulto</w:t>
      </w:r>
    </w:p>
    <w:p w:rsidR="003C7166" w:rsidRPr="003C7166" w:rsidRDefault="003C7166" w:rsidP="003C7166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Libertad condicional</w:t>
      </w:r>
    </w:p>
    <w:p w:rsidR="003C7166" w:rsidRPr="002D0356" w:rsidRDefault="003C7166" w:rsidP="003C716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Arial"/>
          <w:b/>
          <w:color w:val="1F4E79" w:themeColor="accent1" w:themeShade="80"/>
        </w:rPr>
      </w:pPr>
      <w:r w:rsidRPr="002D0356">
        <w:rPr>
          <w:rFonts w:ascii="Calibri" w:hAnsi="Calibri" w:cs="Arial"/>
          <w:b/>
          <w:color w:val="1F4E79" w:themeColor="accent1" w:themeShade="80"/>
        </w:rPr>
        <w:t>Lectura:</w:t>
      </w:r>
    </w:p>
    <w:p w:rsidR="003C7166" w:rsidRPr="002D0356" w:rsidRDefault="003C7166" w:rsidP="003C7166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Calibri" w:hAnsi="Calibri" w:cs="Calibri"/>
          <w:b/>
          <w:color w:val="1F4E79" w:themeColor="accent1" w:themeShade="80"/>
        </w:rPr>
      </w:pPr>
      <w:r w:rsidRPr="002D0356">
        <w:rPr>
          <w:rFonts w:ascii="Calibri" w:hAnsi="Calibri" w:cs="Calibri"/>
          <w:b/>
          <w:color w:val="1F4E79" w:themeColor="accent1" w:themeShade="80"/>
        </w:rPr>
        <w:t>Ley N° 19.856, que crea sistema de reinserción social de los condenados sobre la base de la observación de buena conducta</w:t>
      </w:r>
    </w:p>
    <w:p w:rsidR="003C7166" w:rsidRPr="002D0356" w:rsidRDefault="003C7166" w:rsidP="003C7166">
      <w:pPr>
        <w:autoSpaceDE w:val="0"/>
        <w:autoSpaceDN w:val="0"/>
        <w:adjustRightInd w:val="0"/>
        <w:spacing w:after="0" w:line="360" w:lineRule="auto"/>
        <w:ind w:left="643" w:firstLine="65"/>
        <w:jc w:val="both"/>
        <w:rPr>
          <w:rFonts w:ascii="Calibri" w:hAnsi="Calibri" w:cs="Calibri"/>
          <w:b/>
          <w:color w:val="1F4E79" w:themeColor="accent1" w:themeShade="80"/>
        </w:rPr>
      </w:pPr>
      <w:r w:rsidRPr="002D0356">
        <w:rPr>
          <w:rFonts w:ascii="Calibri" w:hAnsi="Calibri" w:cs="Calibri"/>
          <w:b/>
          <w:color w:val="1F4E79" w:themeColor="accent1" w:themeShade="80"/>
        </w:rPr>
        <w:t>D. S. N° 518, de 1998, Reglamento de Establecimientos Penitenciarios</w:t>
      </w:r>
    </w:p>
    <w:p w:rsidR="003C7166" w:rsidRPr="002D0356" w:rsidRDefault="003C7166" w:rsidP="003C7166">
      <w:pPr>
        <w:autoSpaceDE w:val="0"/>
        <w:autoSpaceDN w:val="0"/>
        <w:adjustRightInd w:val="0"/>
        <w:spacing w:after="0" w:line="360" w:lineRule="auto"/>
        <w:ind w:left="643" w:firstLine="65"/>
        <w:jc w:val="both"/>
        <w:rPr>
          <w:rFonts w:ascii="Calibri" w:hAnsi="Calibri" w:cs="Calibri"/>
          <w:b/>
          <w:color w:val="1F4E79" w:themeColor="accent1" w:themeShade="80"/>
        </w:rPr>
      </w:pPr>
      <w:r w:rsidRPr="002D0356">
        <w:rPr>
          <w:rFonts w:ascii="Calibri" w:hAnsi="Calibri" w:cs="Calibri"/>
          <w:b/>
          <w:color w:val="1F4E79" w:themeColor="accent1" w:themeShade="80"/>
        </w:rPr>
        <w:t>Ley N° 18.050, que fija normas generales para conceder indultos particulares</w:t>
      </w:r>
    </w:p>
    <w:p w:rsidR="003C7166" w:rsidRPr="002D0356" w:rsidRDefault="003C7166" w:rsidP="003C7166">
      <w:pPr>
        <w:autoSpaceDE w:val="0"/>
        <w:autoSpaceDN w:val="0"/>
        <w:adjustRightInd w:val="0"/>
        <w:spacing w:after="0" w:line="360" w:lineRule="auto"/>
        <w:ind w:left="643" w:firstLine="65"/>
        <w:jc w:val="both"/>
        <w:rPr>
          <w:rFonts w:ascii="Calibri" w:hAnsi="Calibri" w:cs="Calibri"/>
          <w:color w:val="1F4E79" w:themeColor="accent1" w:themeShade="80"/>
        </w:rPr>
      </w:pPr>
      <w:r w:rsidRPr="002D0356">
        <w:rPr>
          <w:rFonts w:ascii="Calibri" w:hAnsi="Calibri" w:cs="Calibri"/>
          <w:b/>
          <w:color w:val="1F4E79" w:themeColor="accent1" w:themeShade="80"/>
        </w:rPr>
        <w:t>D. L. 321, de 1925, que establece libertad condicional para los penados</w:t>
      </w:r>
    </w:p>
    <w:p w:rsidR="00A3727E" w:rsidRPr="002D0356" w:rsidRDefault="00A3727E" w:rsidP="00A3727E">
      <w:pPr>
        <w:autoSpaceDE w:val="0"/>
        <w:autoSpaceDN w:val="0"/>
        <w:adjustRightInd w:val="0"/>
        <w:spacing w:after="0" w:line="360" w:lineRule="auto"/>
        <w:ind w:left="643"/>
        <w:jc w:val="both"/>
        <w:rPr>
          <w:rFonts w:ascii="Calibri" w:hAnsi="Calibri" w:cs="Calibri"/>
          <w:color w:val="1F4E79" w:themeColor="accent1" w:themeShade="80"/>
        </w:rPr>
      </w:pPr>
    </w:p>
    <w:p w:rsidR="00A3727E" w:rsidRDefault="00A3727E" w:rsidP="00A3727E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color w:val="000000"/>
          <w:u w:val="single"/>
        </w:rPr>
      </w:pPr>
      <w:r w:rsidRPr="00C95397">
        <w:rPr>
          <w:rFonts w:ascii="Calibri" w:hAnsi="Calibri" w:cs="Calibri"/>
          <w:b/>
          <w:color w:val="000000"/>
          <w:u w:val="single"/>
        </w:rPr>
        <w:t>Sistema de Gestión de Peritajes:</w:t>
      </w:r>
    </w:p>
    <w:p w:rsidR="00A3727E" w:rsidRPr="00A3727E" w:rsidRDefault="00A3727E" w:rsidP="00A3727E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Normativa del sistema de peritajes de la Defensoría Penal Pública</w:t>
      </w:r>
    </w:p>
    <w:p w:rsidR="00A3727E" w:rsidRPr="002D0356" w:rsidRDefault="00A3727E" w:rsidP="00A3727E">
      <w:pPr>
        <w:autoSpaceDE w:val="0"/>
        <w:autoSpaceDN w:val="0"/>
        <w:adjustRightInd w:val="0"/>
        <w:spacing w:after="0" w:line="360" w:lineRule="auto"/>
        <w:ind w:firstLine="348"/>
        <w:jc w:val="both"/>
        <w:rPr>
          <w:rFonts w:ascii="Calibri" w:hAnsi="Calibri" w:cs="Arial"/>
          <w:b/>
          <w:color w:val="1F4E79" w:themeColor="accent1" w:themeShade="80"/>
        </w:rPr>
      </w:pPr>
      <w:r w:rsidRPr="00C95397">
        <w:rPr>
          <w:rFonts w:ascii="Calibri" w:hAnsi="Calibri" w:cs="Arial"/>
          <w:b/>
          <w:color w:val="0070C0"/>
        </w:rPr>
        <w:tab/>
      </w:r>
      <w:r w:rsidRPr="002D0356">
        <w:rPr>
          <w:rFonts w:ascii="Calibri" w:hAnsi="Calibri" w:cs="Arial"/>
          <w:b/>
          <w:color w:val="1F4E79" w:themeColor="accent1" w:themeShade="80"/>
        </w:rPr>
        <w:t>Lectura:</w:t>
      </w:r>
    </w:p>
    <w:p w:rsidR="00A3727E" w:rsidRPr="002D0356" w:rsidRDefault="00A3727E" w:rsidP="00A3727E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Calibri" w:hAnsi="Calibri" w:cs="Arial"/>
          <w:b/>
          <w:color w:val="1F4E79" w:themeColor="accent1" w:themeShade="80"/>
        </w:rPr>
      </w:pPr>
      <w:r w:rsidRPr="002D0356">
        <w:rPr>
          <w:rFonts w:ascii="Calibri" w:hAnsi="Calibri" w:cs="Arial"/>
          <w:b/>
          <w:color w:val="1F4E79" w:themeColor="accent1" w:themeShade="80"/>
        </w:rPr>
        <w:t>Resolución N° 399, de 8 de julio de 2014, que “Establece nuevo sistema de peritajes en la Defensoría Penal Pública y deja sin efecto Ord. N°214 de fecha 13 de septiembre de 2005”.</w:t>
      </w:r>
    </w:p>
    <w:p w:rsidR="00A3727E" w:rsidRDefault="00A3727E" w:rsidP="00A3727E">
      <w:pPr>
        <w:spacing w:after="0" w:line="240" w:lineRule="auto"/>
        <w:jc w:val="both"/>
      </w:pPr>
      <w:r w:rsidRPr="00C95397">
        <w:rPr>
          <w:sz w:val="20"/>
          <w:szCs w:val="20"/>
        </w:rPr>
        <w:tab/>
      </w:r>
    </w:p>
    <w:p w:rsidR="00A3727E" w:rsidRDefault="00A3727E" w:rsidP="00EE1A79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color w:val="000000"/>
          <w:u w:val="single"/>
        </w:rPr>
      </w:pPr>
      <w:r w:rsidRPr="00EE1A79">
        <w:rPr>
          <w:rFonts w:ascii="Calibri" w:hAnsi="Calibri" w:cs="Calibri"/>
          <w:b/>
          <w:color w:val="000000"/>
          <w:u w:val="single"/>
        </w:rPr>
        <w:t>Gestión Licitaciones Defensa Penal Pública:</w:t>
      </w:r>
    </w:p>
    <w:p w:rsidR="00EE1A79" w:rsidRPr="00EE1A79" w:rsidRDefault="00EE1A79" w:rsidP="00EE1A79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Calibri" w:hAnsi="Calibri" w:cs="Calibri"/>
          <w:color w:val="000000"/>
        </w:rPr>
      </w:pPr>
      <w:r w:rsidRPr="00EE1A79">
        <w:rPr>
          <w:rFonts w:ascii="Calibri" w:hAnsi="Calibri" w:cs="Calibri"/>
          <w:color w:val="000000"/>
        </w:rPr>
        <w:t>Bases de licitación de Defensa Penal</w:t>
      </w:r>
    </w:p>
    <w:p w:rsidR="00A3727E" w:rsidRPr="002D0356" w:rsidRDefault="00A3727E" w:rsidP="00A3727E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color w:val="1F4E79" w:themeColor="accent1" w:themeShade="80"/>
        </w:rPr>
      </w:pPr>
      <w:r w:rsidRPr="00C95397">
        <w:rPr>
          <w:rFonts w:ascii="Calibri" w:hAnsi="Calibri" w:cs="Calibri"/>
          <w:b/>
          <w:color w:val="0070C0"/>
        </w:rPr>
        <w:tab/>
      </w:r>
      <w:r w:rsidRPr="002D0356">
        <w:rPr>
          <w:rFonts w:ascii="Calibri" w:hAnsi="Calibri" w:cs="Calibri"/>
          <w:b/>
          <w:color w:val="1F4E79" w:themeColor="accent1" w:themeShade="80"/>
        </w:rPr>
        <w:t xml:space="preserve">Lectura: </w:t>
      </w:r>
    </w:p>
    <w:p w:rsidR="00A3727E" w:rsidRPr="002D0356" w:rsidRDefault="00A3727E" w:rsidP="00EE1A79">
      <w:pPr>
        <w:autoSpaceDE w:val="0"/>
        <w:autoSpaceDN w:val="0"/>
        <w:adjustRightInd w:val="0"/>
        <w:spacing w:after="0" w:line="360" w:lineRule="auto"/>
        <w:ind w:left="708" w:hanging="708"/>
        <w:jc w:val="both"/>
        <w:rPr>
          <w:rFonts w:ascii="Calibri" w:hAnsi="Calibri" w:cs="Calibri"/>
          <w:b/>
          <w:color w:val="1F4E79" w:themeColor="accent1" w:themeShade="80"/>
        </w:rPr>
      </w:pPr>
      <w:r w:rsidRPr="002D0356">
        <w:rPr>
          <w:rFonts w:ascii="Calibri" w:hAnsi="Calibri" w:cs="Calibri"/>
          <w:b/>
          <w:color w:val="1F4E79" w:themeColor="accent1" w:themeShade="80"/>
        </w:rPr>
        <w:tab/>
        <w:t>Resolución N°3, del año 2017, que f</w:t>
      </w:r>
      <w:r w:rsidR="00EE1A79" w:rsidRPr="002D0356">
        <w:rPr>
          <w:rFonts w:ascii="Calibri" w:hAnsi="Calibri" w:cs="Calibri"/>
          <w:b/>
          <w:color w:val="1F4E79" w:themeColor="accent1" w:themeShade="80"/>
        </w:rPr>
        <w:t xml:space="preserve">ija nuevo texto refundido de las </w:t>
      </w:r>
      <w:r w:rsidRPr="002D0356">
        <w:rPr>
          <w:rFonts w:ascii="Calibri" w:hAnsi="Calibri" w:cs="Calibri"/>
          <w:b/>
          <w:color w:val="1F4E79" w:themeColor="accent1" w:themeShade="80"/>
        </w:rPr>
        <w:t>bases administrativas</w:t>
      </w:r>
      <w:r w:rsidR="00EE1A79" w:rsidRPr="002D0356">
        <w:rPr>
          <w:rFonts w:ascii="Calibri" w:hAnsi="Calibri" w:cs="Calibri"/>
          <w:b/>
          <w:color w:val="1F4E79" w:themeColor="accent1" w:themeShade="80"/>
        </w:rPr>
        <w:t>,</w:t>
      </w:r>
      <w:r w:rsidRPr="002D0356">
        <w:rPr>
          <w:rFonts w:ascii="Calibri" w:hAnsi="Calibri" w:cs="Calibri"/>
          <w:b/>
          <w:color w:val="1F4E79" w:themeColor="accent1" w:themeShade="80"/>
        </w:rPr>
        <w:t xml:space="preserve"> técnicas y anexos para la</w:t>
      </w:r>
      <w:r w:rsidR="00EE1A79" w:rsidRPr="002D0356">
        <w:rPr>
          <w:rFonts w:ascii="Calibri" w:hAnsi="Calibri" w:cs="Calibri"/>
          <w:b/>
          <w:color w:val="1F4E79" w:themeColor="accent1" w:themeShade="80"/>
        </w:rPr>
        <w:t xml:space="preserve"> </w:t>
      </w:r>
      <w:r w:rsidRPr="002D0356">
        <w:rPr>
          <w:rFonts w:ascii="Calibri" w:hAnsi="Calibri" w:cs="Calibri"/>
          <w:b/>
          <w:color w:val="1F4E79" w:themeColor="accent1" w:themeShade="80"/>
        </w:rPr>
        <w:t>licitación pública del servicio de defensa penal.</w:t>
      </w:r>
    </w:p>
    <w:p w:rsidR="00C95397" w:rsidRDefault="00C95397" w:rsidP="00C95397">
      <w:pPr>
        <w:pStyle w:val="Default"/>
        <w:spacing w:line="360" w:lineRule="auto"/>
        <w:ind w:left="1800"/>
        <w:jc w:val="both"/>
        <w:rPr>
          <w:sz w:val="22"/>
          <w:szCs w:val="22"/>
        </w:rPr>
      </w:pPr>
    </w:p>
    <w:p w:rsidR="00AB506B" w:rsidRPr="00C95397" w:rsidRDefault="00F7759F" w:rsidP="00EE1A79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color w:val="000000"/>
          <w:u w:val="single"/>
        </w:rPr>
      </w:pPr>
      <w:r>
        <w:rPr>
          <w:rFonts w:ascii="Calibri" w:hAnsi="Calibri" w:cs="Calibri"/>
          <w:b/>
          <w:color w:val="000000"/>
          <w:u w:val="single"/>
        </w:rPr>
        <w:t>Responsabilidad Penal Adolescente</w:t>
      </w:r>
    </w:p>
    <w:p w:rsidR="00F7759F" w:rsidRDefault="00F7759F" w:rsidP="00F7759F">
      <w:pPr>
        <w:pStyle w:val="Default"/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Pr="00EB7B65">
        <w:rPr>
          <w:sz w:val="22"/>
          <w:szCs w:val="22"/>
        </w:rPr>
        <w:t xml:space="preserve">ey 20.084 </w:t>
      </w:r>
      <w:r>
        <w:rPr>
          <w:sz w:val="22"/>
          <w:szCs w:val="22"/>
        </w:rPr>
        <w:t>y Decreto Supremo del Ministerio de Justicia N° 1.378, de 13 de diciembre de 2006, que aprueba el Reglamento de la ley N° 20.084</w:t>
      </w:r>
    </w:p>
    <w:p w:rsidR="00F7759F" w:rsidRPr="00EB7B65" w:rsidRDefault="00F7759F" w:rsidP="00F7759F">
      <w:pPr>
        <w:pStyle w:val="Default"/>
        <w:spacing w:line="360" w:lineRule="auto"/>
        <w:ind w:left="720"/>
        <w:jc w:val="both"/>
        <w:rPr>
          <w:b/>
          <w:sz w:val="22"/>
          <w:szCs w:val="22"/>
        </w:rPr>
      </w:pPr>
      <w:r>
        <w:rPr>
          <w:sz w:val="22"/>
          <w:szCs w:val="22"/>
        </w:rPr>
        <w:t>Jurisprudencia relevante en materia de Derecho Penal Juvenil</w:t>
      </w:r>
    </w:p>
    <w:p w:rsidR="00F7759F" w:rsidRPr="002D0356" w:rsidRDefault="00F7759F" w:rsidP="00F7759F">
      <w:pPr>
        <w:pStyle w:val="Prrafodelista"/>
        <w:spacing w:after="0" w:line="360" w:lineRule="auto"/>
        <w:jc w:val="both"/>
        <w:rPr>
          <w:rFonts w:ascii="Calibri" w:hAnsi="Calibri"/>
          <w:b/>
          <w:color w:val="1F4E79" w:themeColor="accent1" w:themeShade="80"/>
        </w:rPr>
      </w:pPr>
      <w:r w:rsidRPr="002D0356">
        <w:rPr>
          <w:rFonts w:ascii="Calibri" w:hAnsi="Calibri"/>
          <w:b/>
          <w:color w:val="1F4E79" w:themeColor="accent1" w:themeShade="80"/>
        </w:rPr>
        <w:t>Lectura:</w:t>
      </w:r>
    </w:p>
    <w:p w:rsidR="00F7759F" w:rsidRPr="002D0356" w:rsidRDefault="00F7759F" w:rsidP="00F7759F">
      <w:pPr>
        <w:pStyle w:val="Prrafodelista"/>
        <w:spacing w:after="0" w:line="360" w:lineRule="auto"/>
        <w:jc w:val="both"/>
        <w:rPr>
          <w:rStyle w:val="Hipervnculo"/>
          <w:rFonts w:ascii="Calibri" w:hAnsi="Calibri"/>
          <w:b/>
          <w:color w:val="1F4E79" w:themeColor="accent1" w:themeShade="80"/>
        </w:rPr>
      </w:pPr>
      <w:r w:rsidRPr="002D0356">
        <w:rPr>
          <w:rFonts w:ascii="Calibri" w:hAnsi="Calibri"/>
          <w:b/>
          <w:color w:val="1F4E79" w:themeColor="accent1" w:themeShade="80"/>
        </w:rPr>
        <w:t xml:space="preserve">13° Informe de jurisprudencia sobre la Ley Nº 20.084 de responsabilidad penal del adolescente, del año 2013, disponible en </w:t>
      </w:r>
      <w:hyperlink r:id="rId17" w:history="1">
        <w:r w:rsidRPr="00E57B8C">
          <w:rPr>
            <w:rStyle w:val="Hipervnculo"/>
            <w:rFonts w:ascii="Calibri" w:hAnsi="Calibri"/>
            <w:color w:val="1F4E79" w:themeColor="accent1" w:themeShade="80"/>
          </w:rPr>
          <w:t>https://www.dropbox.com/sh/y17h449a8cwh6dw/AAC3eGDcOQ9O83cz80tdPOK0a?dl=0</w:t>
        </w:r>
      </w:hyperlink>
    </w:p>
    <w:p w:rsidR="00F7759F" w:rsidRPr="002D0356" w:rsidRDefault="00F7759F" w:rsidP="00F7759F">
      <w:pPr>
        <w:pStyle w:val="Default"/>
        <w:spacing w:line="360" w:lineRule="auto"/>
        <w:ind w:left="720"/>
        <w:jc w:val="both"/>
        <w:rPr>
          <w:b/>
          <w:color w:val="1F4E79" w:themeColor="accent1" w:themeShade="80"/>
          <w:sz w:val="22"/>
          <w:szCs w:val="22"/>
        </w:rPr>
      </w:pPr>
      <w:r w:rsidRPr="002D0356">
        <w:rPr>
          <w:b/>
          <w:color w:val="1F4E79" w:themeColor="accent1" w:themeShade="80"/>
          <w:sz w:val="22"/>
          <w:szCs w:val="22"/>
        </w:rPr>
        <w:t>Ley 20.084</w:t>
      </w:r>
    </w:p>
    <w:p w:rsidR="00F7759F" w:rsidRPr="002D0356" w:rsidRDefault="00F7759F" w:rsidP="00F7759F">
      <w:pPr>
        <w:pStyle w:val="Default"/>
        <w:spacing w:line="360" w:lineRule="auto"/>
        <w:ind w:left="720"/>
        <w:jc w:val="both"/>
        <w:rPr>
          <w:b/>
          <w:color w:val="1F4E79" w:themeColor="accent1" w:themeShade="80"/>
          <w:sz w:val="22"/>
          <w:szCs w:val="22"/>
        </w:rPr>
      </w:pPr>
      <w:r w:rsidRPr="002D0356">
        <w:rPr>
          <w:b/>
          <w:color w:val="1F4E79" w:themeColor="accent1" w:themeShade="80"/>
          <w:sz w:val="22"/>
          <w:szCs w:val="22"/>
        </w:rPr>
        <w:t xml:space="preserve">Decreto Supremo del Ministerio de Justicia N° 1.378, de 13 de diciembre de 2006, que aprueba el Reglamento de la ley N° 20.084 </w:t>
      </w:r>
    </w:p>
    <w:sectPr w:rsidR="00F7759F" w:rsidRPr="002D0356">
      <w:headerReference w:type="default" r:id="rId18"/>
      <w:footerReference w:type="default" r:id="rId1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58B" w:rsidRDefault="00E6758B" w:rsidP="00C95397">
      <w:pPr>
        <w:spacing w:after="0" w:line="240" w:lineRule="auto"/>
      </w:pPr>
      <w:r>
        <w:separator/>
      </w:r>
    </w:p>
  </w:endnote>
  <w:endnote w:type="continuationSeparator" w:id="0">
    <w:p w:rsidR="00E6758B" w:rsidRDefault="00E6758B" w:rsidP="00C95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0356" w:rsidRPr="008A52DD" w:rsidRDefault="002D0356" w:rsidP="002D0356">
    <w:pPr>
      <w:pStyle w:val="Piedepgina"/>
      <w:jc w:val="both"/>
      <w:rPr>
        <w:rFonts w:ascii="Calibri" w:hAnsi="Calibri" w:cs="Calibri"/>
        <w:i/>
        <w:iCs/>
        <w:color w:val="000000"/>
        <w:sz w:val="18"/>
        <w:szCs w:val="18"/>
      </w:rPr>
    </w:pPr>
    <w:r w:rsidRPr="008A52DD">
      <w:rPr>
        <w:rFonts w:ascii="Calibri" w:hAnsi="Calibri" w:cs="Calibri"/>
        <w:b/>
        <w:bCs/>
        <w:i/>
        <w:iCs/>
        <w:color w:val="000000"/>
        <w:sz w:val="18"/>
        <w:szCs w:val="18"/>
      </w:rPr>
      <w:t xml:space="preserve">(*)  Nota 1: </w:t>
    </w:r>
    <w:r w:rsidRPr="008A52DD">
      <w:rPr>
        <w:rFonts w:ascii="Calibri" w:hAnsi="Calibri" w:cs="Calibri"/>
        <w:i/>
        <w:iCs/>
        <w:color w:val="000000"/>
        <w:sz w:val="18"/>
        <w:szCs w:val="18"/>
      </w:rPr>
      <w:t>En caso de que parte del material de estudio esté desactualizado por modificaciones legales posteriores, es responsabilidad del postulante conocer dichas modificaciones y responder la prueba conforme a ellas.</w:t>
    </w:r>
  </w:p>
  <w:p w:rsidR="002D0356" w:rsidRPr="008A52DD" w:rsidRDefault="002D0356" w:rsidP="002D0356">
    <w:pPr>
      <w:pStyle w:val="Piedepgina"/>
      <w:jc w:val="both"/>
      <w:rPr>
        <w:sz w:val="18"/>
        <w:szCs w:val="18"/>
      </w:rPr>
    </w:pPr>
    <w:r w:rsidRPr="008A52DD">
      <w:rPr>
        <w:rFonts w:ascii="Calibri" w:hAnsi="Calibri" w:cs="Calibri"/>
        <w:b/>
        <w:i/>
        <w:iCs/>
        <w:color w:val="000000"/>
        <w:sz w:val="18"/>
        <w:szCs w:val="18"/>
      </w:rPr>
      <w:t xml:space="preserve">Nota 2: </w:t>
    </w:r>
    <w:r w:rsidRPr="008A52DD">
      <w:rPr>
        <w:rFonts w:ascii="Calibri" w:hAnsi="Calibri" w:cs="Calibri"/>
        <w:i/>
        <w:iCs/>
        <w:color w:val="000000"/>
        <w:sz w:val="18"/>
        <w:szCs w:val="18"/>
      </w:rPr>
      <w:t>Las preguntas y respuestas de la prueba de conocimientos, sólo están sustentadas en este temario, y no en otros autores o textos.</w:t>
    </w:r>
  </w:p>
  <w:p w:rsidR="002D0356" w:rsidRDefault="002D035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58B" w:rsidRDefault="00E6758B" w:rsidP="00C95397">
      <w:pPr>
        <w:spacing w:after="0" w:line="240" w:lineRule="auto"/>
      </w:pPr>
      <w:r>
        <w:separator/>
      </w:r>
    </w:p>
  </w:footnote>
  <w:footnote w:type="continuationSeparator" w:id="0">
    <w:p w:rsidR="00E6758B" w:rsidRDefault="00E6758B" w:rsidP="00C95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5B9" w:rsidRDefault="003515B9">
    <w:pPr>
      <w:pStyle w:val="Encabezado"/>
    </w:pPr>
    <w:r w:rsidRPr="008A52DD">
      <w:rPr>
        <w:noProof/>
        <w:lang w:eastAsia="es-CL"/>
      </w:rPr>
      <w:drawing>
        <wp:inline distT="0" distB="0" distL="0" distR="0" wp14:anchorId="2835CFE8" wp14:editId="3375B985">
          <wp:extent cx="1167171" cy="4191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956" cy="42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1037B"/>
    <w:multiLevelType w:val="hybridMultilevel"/>
    <w:tmpl w:val="B274B612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C3F72"/>
    <w:multiLevelType w:val="hybridMultilevel"/>
    <w:tmpl w:val="77BABC16"/>
    <w:lvl w:ilvl="0" w:tplc="2A100128">
      <w:start w:val="8"/>
      <w:numFmt w:val="upperRoman"/>
      <w:lvlText w:val="%1)"/>
      <w:lvlJc w:val="left"/>
      <w:pPr>
        <w:ind w:left="1003" w:hanging="720"/>
      </w:pPr>
      <w:rPr>
        <w:rFonts w:hint="default"/>
        <w:b w:val="0"/>
        <w:color w:val="000000" w:themeColor="text1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363" w:hanging="360"/>
      </w:pPr>
    </w:lvl>
    <w:lvl w:ilvl="2" w:tplc="340A001B" w:tentative="1">
      <w:start w:val="1"/>
      <w:numFmt w:val="lowerRoman"/>
      <w:lvlText w:val="%3."/>
      <w:lvlJc w:val="right"/>
      <w:pPr>
        <w:ind w:left="2083" w:hanging="180"/>
      </w:pPr>
    </w:lvl>
    <w:lvl w:ilvl="3" w:tplc="340A000F" w:tentative="1">
      <w:start w:val="1"/>
      <w:numFmt w:val="decimal"/>
      <w:lvlText w:val="%4."/>
      <w:lvlJc w:val="left"/>
      <w:pPr>
        <w:ind w:left="2803" w:hanging="360"/>
      </w:pPr>
    </w:lvl>
    <w:lvl w:ilvl="4" w:tplc="340A0019" w:tentative="1">
      <w:start w:val="1"/>
      <w:numFmt w:val="lowerLetter"/>
      <w:lvlText w:val="%5."/>
      <w:lvlJc w:val="left"/>
      <w:pPr>
        <w:ind w:left="3523" w:hanging="360"/>
      </w:pPr>
    </w:lvl>
    <w:lvl w:ilvl="5" w:tplc="340A001B" w:tentative="1">
      <w:start w:val="1"/>
      <w:numFmt w:val="lowerRoman"/>
      <w:lvlText w:val="%6."/>
      <w:lvlJc w:val="right"/>
      <w:pPr>
        <w:ind w:left="4243" w:hanging="180"/>
      </w:pPr>
    </w:lvl>
    <w:lvl w:ilvl="6" w:tplc="340A000F" w:tentative="1">
      <w:start w:val="1"/>
      <w:numFmt w:val="decimal"/>
      <w:lvlText w:val="%7."/>
      <w:lvlJc w:val="left"/>
      <w:pPr>
        <w:ind w:left="4963" w:hanging="360"/>
      </w:pPr>
    </w:lvl>
    <w:lvl w:ilvl="7" w:tplc="340A0019" w:tentative="1">
      <w:start w:val="1"/>
      <w:numFmt w:val="lowerLetter"/>
      <w:lvlText w:val="%8."/>
      <w:lvlJc w:val="left"/>
      <w:pPr>
        <w:ind w:left="5683" w:hanging="360"/>
      </w:pPr>
    </w:lvl>
    <w:lvl w:ilvl="8" w:tplc="3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D2E2BC4"/>
    <w:multiLevelType w:val="hybridMultilevel"/>
    <w:tmpl w:val="78B41486"/>
    <w:lvl w:ilvl="0" w:tplc="E13C5AC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31C9F"/>
    <w:multiLevelType w:val="hybridMultilevel"/>
    <w:tmpl w:val="77BABC16"/>
    <w:lvl w:ilvl="0" w:tplc="2A100128">
      <w:start w:val="8"/>
      <w:numFmt w:val="upperRoman"/>
      <w:lvlText w:val="%1)"/>
      <w:lvlJc w:val="left"/>
      <w:pPr>
        <w:ind w:left="1003" w:hanging="720"/>
      </w:pPr>
      <w:rPr>
        <w:rFonts w:hint="default"/>
        <w:b w:val="0"/>
        <w:color w:val="000000" w:themeColor="text1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363" w:hanging="360"/>
      </w:pPr>
    </w:lvl>
    <w:lvl w:ilvl="2" w:tplc="340A001B" w:tentative="1">
      <w:start w:val="1"/>
      <w:numFmt w:val="lowerRoman"/>
      <w:lvlText w:val="%3."/>
      <w:lvlJc w:val="right"/>
      <w:pPr>
        <w:ind w:left="2083" w:hanging="180"/>
      </w:pPr>
    </w:lvl>
    <w:lvl w:ilvl="3" w:tplc="340A000F" w:tentative="1">
      <w:start w:val="1"/>
      <w:numFmt w:val="decimal"/>
      <w:lvlText w:val="%4."/>
      <w:lvlJc w:val="left"/>
      <w:pPr>
        <w:ind w:left="2803" w:hanging="360"/>
      </w:pPr>
    </w:lvl>
    <w:lvl w:ilvl="4" w:tplc="340A0019" w:tentative="1">
      <w:start w:val="1"/>
      <w:numFmt w:val="lowerLetter"/>
      <w:lvlText w:val="%5."/>
      <w:lvlJc w:val="left"/>
      <w:pPr>
        <w:ind w:left="3523" w:hanging="360"/>
      </w:pPr>
    </w:lvl>
    <w:lvl w:ilvl="5" w:tplc="340A001B" w:tentative="1">
      <w:start w:val="1"/>
      <w:numFmt w:val="lowerRoman"/>
      <w:lvlText w:val="%6."/>
      <w:lvlJc w:val="right"/>
      <w:pPr>
        <w:ind w:left="4243" w:hanging="180"/>
      </w:pPr>
    </w:lvl>
    <w:lvl w:ilvl="6" w:tplc="340A000F" w:tentative="1">
      <w:start w:val="1"/>
      <w:numFmt w:val="decimal"/>
      <w:lvlText w:val="%7."/>
      <w:lvlJc w:val="left"/>
      <w:pPr>
        <w:ind w:left="4963" w:hanging="360"/>
      </w:pPr>
    </w:lvl>
    <w:lvl w:ilvl="7" w:tplc="340A0019" w:tentative="1">
      <w:start w:val="1"/>
      <w:numFmt w:val="lowerLetter"/>
      <w:lvlText w:val="%8."/>
      <w:lvlJc w:val="left"/>
      <w:pPr>
        <w:ind w:left="5683" w:hanging="360"/>
      </w:pPr>
    </w:lvl>
    <w:lvl w:ilvl="8" w:tplc="3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32686C8F"/>
    <w:multiLevelType w:val="hybridMultilevel"/>
    <w:tmpl w:val="B50618A0"/>
    <w:lvl w:ilvl="0" w:tplc="16786C14">
      <w:start w:val="1"/>
      <w:numFmt w:val="lowerLetter"/>
      <w:lvlText w:val="%1)"/>
      <w:lvlJc w:val="left"/>
      <w:pPr>
        <w:ind w:left="1440" w:hanging="720"/>
      </w:pPr>
      <w:rPr>
        <w:rFonts w:asciiTheme="minorHAnsi" w:eastAsiaTheme="minorHAnsi" w:hAnsiTheme="minorHAnsi" w:cstheme="minorBidi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1C1810"/>
    <w:multiLevelType w:val="hybridMultilevel"/>
    <w:tmpl w:val="35A697F2"/>
    <w:lvl w:ilvl="0" w:tplc="9FF4C1B8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11473"/>
    <w:multiLevelType w:val="hybridMultilevel"/>
    <w:tmpl w:val="E5685C46"/>
    <w:lvl w:ilvl="0" w:tplc="8662FED6">
      <w:start w:val="1"/>
      <w:numFmt w:val="decimal"/>
      <w:lvlText w:val="%1)"/>
      <w:lvlJc w:val="left"/>
      <w:pPr>
        <w:ind w:left="643" w:hanging="360"/>
      </w:pPr>
      <w:rPr>
        <w:rFonts w:hint="default"/>
        <w:color w:val="0070C0"/>
      </w:rPr>
    </w:lvl>
    <w:lvl w:ilvl="1" w:tplc="340A0019" w:tentative="1">
      <w:start w:val="1"/>
      <w:numFmt w:val="lowerLetter"/>
      <w:lvlText w:val="%2."/>
      <w:lvlJc w:val="left"/>
      <w:pPr>
        <w:ind w:left="1363" w:hanging="360"/>
      </w:pPr>
    </w:lvl>
    <w:lvl w:ilvl="2" w:tplc="340A001B" w:tentative="1">
      <w:start w:val="1"/>
      <w:numFmt w:val="lowerRoman"/>
      <w:lvlText w:val="%3."/>
      <w:lvlJc w:val="right"/>
      <w:pPr>
        <w:ind w:left="2083" w:hanging="180"/>
      </w:pPr>
    </w:lvl>
    <w:lvl w:ilvl="3" w:tplc="340A000F" w:tentative="1">
      <w:start w:val="1"/>
      <w:numFmt w:val="decimal"/>
      <w:lvlText w:val="%4."/>
      <w:lvlJc w:val="left"/>
      <w:pPr>
        <w:ind w:left="2803" w:hanging="360"/>
      </w:pPr>
    </w:lvl>
    <w:lvl w:ilvl="4" w:tplc="340A0019" w:tentative="1">
      <w:start w:val="1"/>
      <w:numFmt w:val="lowerLetter"/>
      <w:lvlText w:val="%5."/>
      <w:lvlJc w:val="left"/>
      <w:pPr>
        <w:ind w:left="3523" w:hanging="360"/>
      </w:pPr>
    </w:lvl>
    <w:lvl w:ilvl="5" w:tplc="340A001B" w:tentative="1">
      <w:start w:val="1"/>
      <w:numFmt w:val="lowerRoman"/>
      <w:lvlText w:val="%6."/>
      <w:lvlJc w:val="right"/>
      <w:pPr>
        <w:ind w:left="4243" w:hanging="180"/>
      </w:pPr>
    </w:lvl>
    <w:lvl w:ilvl="6" w:tplc="340A000F" w:tentative="1">
      <w:start w:val="1"/>
      <w:numFmt w:val="decimal"/>
      <w:lvlText w:val="%7."/>
      <w:lvlJc w:val="left"/>
      <w:pPr>
        <w:ind w:left="4963" w:hanging="360"/>
      </w:pPr>
    </w:lvl>
    <w:lvl w:ilvl="7" w:tplc="340A0019" w:tentative="1">
      <w:start w:val="1"/>
      <w:numFmt w:val="lowerLetter"/>
      <w:lvlText w:val="%8."/>
      <w:lvlJc w:val="left"/>
      <w:pPr>
        <w:ind w:left="5683" w:hanging="360"/>
      </w:pPr>
    </w:lvl>
    <w:lvl w:ilvl="8" w:tplc="34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626C1019"/>
    <w:multiLevelType w:val="hybridMultilevel"/>
    <w:tmpl w:val="2B7468E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F45A42"/>
    <w:multiLevelType w:val="hybridMultilevel"/>
    <w:tmpl w:val="FEEC5362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DA6143"/>
    <w:multiLevelType w:val="hybridMultilevel"/>
    <w:tmpl w:val="A34E97DE"/>
    <w:lvl w:ilvl="0" w:tplc="9AB82390">
      <w:start w:val="1"/>
      <w:numFmt w:val="lowerLetter"/>
      <w:lvlText w:val="%1)"/>
      <w:lvlJc w:val="left"/>
      <w:pPr>
        <w:ind w:left="1440" w:hanging="720"/>
      </w:pPr>
      <w:rPr>
        <w:rFonts w:ascii="Calibri" w:eastAsiaTheme="minorHAnsi" w:hAnsi="Calibri" w:cs="Calibri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E343F3"/>
    <w:multiLevelType w:val="hybridMultilevel"/>
    <w:tmpl w:val="35A697F2"/>
    <w:lvl w:ilvl="0" w:tplc="9FF4C1B8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8"/>
  </w:num>
  <w:num w:numId="5">
    <w:abstractNumId w:val="7"/>
  </w:num>
  <w:num w:numId="6">
    <w:abstractNumId w:val="0"/>
  </w:num>
  <w:num w:numId="7">
    <w:abstractNumId w:val="3"/>
  </w:num>
  <w:num w:numId="8">
    <w:abstractNumId w:val="6"/>
  </w:num>
  <w:num w:numId="9">
    <w:abstractNumId w:val="1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397"/>
    <w:rsid w:val="00005828"/>
    <w:rsid w:val="00197415"/>
    <w:rsid w:val="00246FCC"/>
    <w:rsid w:val="002C55F3"/>
    <w:rsid w:val="002D0356"/>
    <w:rsid w:val="003515B9"/>
    <w:rsid w:val="003928E2"/>
    <w:rsid w:val="003B6A1F"/>
    <w:rsid w:val="003C7166"/>
    <w:rsid w:val="003D268F"/>
    <w:rsid w:val="003F6B42"/>
    <w:rsid w:val="00411AE8"/>
    <w:rsid w:val="004351BB"/>
    <w:rsid w:val="00502485"/>
    <w:rsid w:val="006163BC"/>
    <w:rsid w:val="00655BBD"/>
    <w:rsid w:val="006951D6"/>
    <w:rsid w:val="00710902"/>
    <w:rsid w:val="007118FD"/>
    <w:rsid w:val="00767858"/>
    <w:rsid w:val="007C0946"/>
    <w:rsid w:val="00856C8E"/>
    <w:rsid w:val="0087020C"/>
    <w:rsid w:val="008C2D39"/>
    <w:rsid w:val="00915DBC"/>
    <w:rsid w:val="00942912"/>
    <w:rsid w:val="00960D0E"/>
    <w:rsid w:val="009A44B3"/>
    <w:rsid w:val="009D3C0E"/>
    <w:rsid w:val="009D406F"/>
    <w:rsid w:val="009D6211"/>
    <w:rsid w:val="00A3727E"/>
    <w:rsid w:val="00A46FF4"/>
    <w:rsid w:val="00A9083F"/>
    <w:rsid w:val="00AB506B"/>
    <w:rsid w:val="00AD4B6F"/>
    <w:rsid w:val="00B1378D"/>
    <w:rsid w:val="00B46AB0"/>
    <w:rsid w:val="00B664FC"/>
    <w:rsid w:val="00B86FC1"/>
    <w:rsid w:val="00C95397"/>
    <w:rsid w:val="00CA261A"/>
    <w:rsid w:val="00CE67CA"/>
    <w:rsid w:val="00D87A19"/>
    <w:rsid w:val="00E01F69"/>
    <w:rsid w:val="00E57B8C"/>
    <w:rsid w:val="00E64B7A"/>
    <w:rsid w:val="00E6758B"/>
    <w:rsid w:val="00EE1A79"/>
    <w:rsid w:val="00F61E21"/>
    <w:rsid w:val="00F7759F"/>
    <w:rsid w:val="00FC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91F5628-6EA8-430C-B035-469902F6D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3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9539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C9539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95397"/>
    <w:rPr>
      <w:color w:val="0563C1" w:themeColor="hyperlink"/>
      <w:u w:val="single"/>
    </w:rPr>
  </w:style>
  <w:style w:type="character" w:customStyle="1" w:styleId="solext0">
    <w:name w:val="solext0"/>
    <w:basedOn w:val="Fuentedeprrafopredeter"/>
    <w:rsid w:val="00C95397"/>
  </w:style>
  <w:style w:type="character" w:customStyle="1" w:styleId="solext1">
    <w:name w:val="solext1"/>
    <w:basedOn w:val="Fuentedeprrafopredeter"/>
    <w:rsid w:val="00C95397"/>
  </w:style>
  <w:style w:type="character" w:customStyle="1" w:styleId="solext2">
    <w:name w:val="solext2"/>
    <w:basedOn w:val="Fuentedeprrafopredeter"/>
    <w:rsid w:val="00C95397"/>
  </w:style>
  <w:style w:type="paragraph" w:styleId="Sinespaciado">
    <w:name w:val="No Spacing"/>
    <w:uiPriority w:val="1"/>
    <w:qFormat/>
    <w:rsid w:val="00C95397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unhideWhenUsed/>
    <w:rsid w:val="00C9539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95397"/>
    <w:rPr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95397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95397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C95397"/>
    <w:rPr>
      <w:vertAlign w:val="superscript"/>
    </w:rPr>
  </w:style>
  <w:style w:type="character" w:customStyle="1" w:styleId="solext10">
    <w:name w:val="solext10"/>
    <w:basedOn w:val="Fuentedeprrafopredeter"/>
    <w:rsid w:val="00655BBD"/>
  </w:style>
  <w:style w:type="character" w:customStyle="1" w:styleId="solext8">
    <w:name w:val="solext8"/>
    <w:basedOn w:val="Fuentedeprrafopredeter"/>
    <w:rsid w:val="00655BBD"/>
  </w:style>
  <w:style w:type="character" w:customStyle="1" w:styleId="solext4">
    <w:name w:val="solext4"/>
    <w:basedOn w:val="Fuentedeprrafopredeter"/>
    <w:rsid w:val="00655BBD"/>
  </w:style>
  <w:style w:type="character" w:customStyle="1" w:styleId="solext5">
    <w:name w:val="solext5"/>
    <w:basedOn w:val="Fuentedeprrafopredeter"/>
    <w:rsid w:val="00655BBD"/>
  </w:style>
  <w:style w:type="character" w:customStyle="1" w:styleId="solext6">
    <w:name w:val="solext6"/>
    <w:basedOn w:val="Fuentedeprrafopredeter"/>
    <w:rsid w:val="00655BBD"/>
  </w:style>
  <w:style w:type="character" w:customStyle="1" w:styleId="solext7">
    <w:name w:val="solext7"/>
    <w:basedOn w:val="Fuentedeprrafopredeter"/>
    <w:rsid w:val="00655BBD"/>
  </w:style>
  <w:style w:type="paragraph" w:styleId="Encabezado">
    <w:name w:val="header"/>
    <w:basedOn w:val="Normal"/>
    <w:link w:val="EncabezadoCar"/>
    <w:uiPriority w:val="99"/>
    <w:unhideWhenUsed/>
    <w:rsid w:val="003515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15B9"/>
  </w:style>
  <w:style w:type="paragraph" w:styleId="Piedepgina">
    <w:name w:val="footer"/>
    <w:basedOn w:val="Normal"/>
    <w:link w:val="PiedepginaCar"/>
    <w:uiPriority w:val="99"/>
    <w:unhideWhenUsed/>
    <w:rsid w:val="003515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1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ropbox.com/sh/y17h449a8cwh6dw/AAC3eGDcOQ9O83cz80tdPOK0a?dl=0" TargetMode="External"/><Relationship Id="rId13" Type="http://schemas.openxmlformats.org/officeDocument/2006/relationships/hyperlink" Target="http://www,tribunalconstitucional.cl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dropbox.com/sh/y17h449a8cwh6dw/AAC3eGDcOQ9O83cz80tdPOK0a?dl=0" TargetMode="External"/><Relationship Id="rId17" Type="http://schemas.openxmlformats.org/officeDocument/2006/relationships/hyperlink" Target="https://www.dropbox.com/sh/y17h449a8cwh6dw/AAC3eGDcOQ9O83cz80tdPOK0a?dl=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dpp.c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ropbox.com/sh/y17h449a8cwh6dw/AAC3eGDcOQ9O83cz80tdPOK0a?dl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dropbox.com/sh/y17h449a8cwh6dw/AAC3eGDcOQ9O83cz80tdPOK0a?dl=0" TargetMode="External"/><Relationship Id="rId10" Type="http://schemas.openxmlformats.org/officeDocument/2006/relationships/hyperlink" Target="https://www.dropbox.com/sh/y17h449a8cwh6dw/AAC3eGDcOQ9O83cz80tdPOK0a?dl=0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dropbox.com/sh/y17h449a8cwh6dw/AAC3eGDcOQ9O83cz80tdPOK0a?dl=0" TargetMode="External"/><Relationship Id="rId14" Type="http://schemas.openxmlformats.org/officeDocument/2006/relationships/hyperlink" Target="https://www.dropbox.com/sh/y17h449a8cwh6dw/AAC3eGDcOQ9O83cz80tdPOK0a?dl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38F64-6E02-40A8-BDFA-1898A3817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2526</Words>
  <Characters>13899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Irarrazaval  Zaldivar</dc:creator>
  <cp:keywords/>
  <dc:description/>
  <cp:lastModifiedBy>Carolina Gajardo Romero</cp:lastModifiedBy>
  <cp:revision>5</cp:revision>
  <dcterms:created xsi:type="dcterms:W3CDTF">2018-04-13T19:06:00Z</dcterms:created>
  <dcterms:modified xsi:type="dcterms:W3CDTF">2018-04-25T17:58:00Z</dcterms:modified>
</cp:coreProperties>
</file>