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DD" w:rsidRPr="00B22822" w:rsidRDefault="008A52DD" w:rsidP="008A52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22822">
        <w:rPr>
          <w:rFonts w:ascii="Calibri" w:hAnsi="Calibri" w:cs="Calibri"/>
          <w:b/>
          <w:bCs/>
        </w:rPr>
        <w:t>TEMARIO PARA PRUEBA DE CONOCIMIENTOS (*)</w:t>
      </w:r>
    </w:p>
    <w:p w:rsidR="008A52DD" w:rsidRPr="00B22822" w:rsidRDefault="008A52DD" w:rsidP="008A52DD">
      <w:pPr>
        <w:spacing w:after="0" w:line="360" w:lineRule="auto"/>
        <w:jc w:val="center"/>
        <w:rPr>
          <w:rFonts w:ascii="Calibri" w:eastAsia="Calibri" w:hAnsi="Calibri" w:cs="Times New Roman"/>
          <w:b/>
          <w:u w:val="single"/>
        </w:rPr>
      </w:pPr>
      <w:r w:rsidRPr="00B22822">
        <w:rPr>
          <w:rFonts w:ascii="Calibri" w:hAnsi="Calibri" w:cs="Calibri"/>
          <w:b/>
          <w:bCs/>
        </w:rPr>
        <w:t>CONCURSO DEFENSOR(A) LOCAL – 2018</w:t>
      </w:r>
    </w:p>
    <w:p w:rsidR="008A52DD" w:rsidRPr="00B22822" w:rsidRDefault="008A52DD" w:rsidP="00C95397">
      <w:pPr>
        <w:spacing w:after="0" w:line="360" w:lineRule="auto"/>
        <w:jc w:val="center"/>
        <w:rPr>
          <w:rFonts w:ascii="Calibri" w:eastAsia="Calibri" w:hAnsi="Calibri" w:cs="Times New Roman"/>
          <w:b/>
          <w:u w:val="single"/>
        </w:rPr>
      </w:pPr>
    </w:p>
    <w:p w:rsidR="00FC5B12" w:rsidRPr="00B22822" w:rsidRDefault="00A9083F" w:rsidP="00FC5B12">
      <w:pPr>
        <w:pStyle w:val="Default"/>
        <w:numPr>
          <w:ilvl w:val="0"/>
          <w:numId w:val="3"/>
        </w:numPr>
        <w:spacing w:line="360" w:lineRule="auto"/>
        <w:jc w:val="both"/>
        <w:rPr>
          <w:b/>
          <w:color w:val="auto"/>
          <w:sz w:val="22"/>
          <w:szCs w:val="22"/>
          <w:u w:val="single"/>
        </w:rPr>
      </w:pPr>
      <w:r w:rsidRPr="00B22822">
        <w:rPr>
          <w:b/>
          <w:color w:val="auto"/>
          <w:sz w:val="22"/>
          <w:szCs w:val="22"/>
          <w:u w:val="single"/>
        </w:rPr>
        <w:t>D</w:t>
      </w:r>
      <w:r w:rsidR="00FC5B12" w:rsidRPr="00B22822">
        <w:rPr>
          <w:b/>
          <w:color w:val="auto"/>
          <w:sz w:val="22"/>
          <w:szCs w:val="22"/>
          <w:u w:val="single"/>
        </w:rPr>
        <w:t>erecho Procesal Penal:</w:t>
      </w:r>
    </w:p>
    <w:p w:rsidR="00FC5B12" w:rsidRPr="00B22822" w:rsidRDefault="00FC5B12" w:rsidP="00FC5B1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Libro I del Código Procesal Penal completo (principios</w:t>
      </w:r>
      <w:r w:rsidR="009D6211" w:rsidRPr="00B22822">
        <w:rPr>
          <w:color w:val="auto"/>
          <w:sz w:val="22"/>
          <w:szCs w:val="22"/>
        </w:rPr>
        <w:t xml:space="preserve"> básicos</w:t>
      </w:r>
      <w:r w:rsidRPr="00B22822">
        <w:rPr>
          <w:color w:val="auto"/>
          <w:sz w:val="22"/>
          <w:szCs w:val="22"/>
        </w:rPr>
        <w:t xml:space="preserve">, </w:t>
      </w:r>
      <w:r w:rsidR="009D6211" w:rsidRPr="00B22822">
        <w:rPr>
          <w:color w:val="auto"/>
          <w:sz w:val="22"/>
          <w:szCs w:val="22"/>
        </w:rPr>
        <w:t xml:space="preserve">actividad procesal, </w:t>
      </w:r>
      <w:r w:rsidRPr="00B22822">
        <w:rPr>
          <w:color w:val="auto"/>
          <w:sz w:val="22"/>
          <w:szCs w:val="22"/>
        </w:rPr>
        <w:t>acción penal, sujetos procesales, medidas cautelares personales</w:t>
      </w:r>
      <w:r w:rsidR="009D6211" w:rsidRPr="00B22822">
        <w:rPr>
          <w:color w:val="auto"/>
          <w:sz w:val="22"/>
          <w:szCs w:val="22"/>
        </w:rPr>
        <w:t>, medidas cautelares reales, nulidades procesales); control de identidad del artículo 12 de la ley N° 12 Ley 20.931.</w:t>
      </w:r>
    </w:p>
    <w:p w:rsidR="00FC5B12" w:rsidRPr="00B22822" w:rsidRDefault="00FC5B12" w:rsidP="00FC5B1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Libro II del Código Procesal Penal completo (procedimiento ordinario)</w:t>
      </w:r>
    </w:p>
    <w:p w:rsidR="00FC5B12" w:rsidRPr="00B22822" w:rsidRDefault="00FC5B12" w:rsidP="00FC5B1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Libro III del Código Procesal Penal completo (recursos).</w:t>
      </w:r>
    </w:p>
    <w:p w:rsidR="00FC5B12" w:rsidRPr="00B22822" w:rsidRDefault="00FC5B12" w:rsidP="00FC5B1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Libro IV del Código Procesal Penal</w:t>
      </w:r>
      <w:r w:rsidR="009D6211" w:rsidRPr="00B22822">
        <w:rPr>
          <w:color w:val="auto"/>
          <w:sz w:val="22"/>
          <w:szCs w:val="22"/>
        </w:rPr>
        <w:t xml:space="preserve"> (</w:t>
      </w:r>
      <w:r w:rsidRPr="00B22822">
        <w:rPr>
          <w:color w:val="auto"/>
          <w:sz w:val="22"/>
          <w:szCs w:val="22"/>
        </w:rPr>
        <w:t xml:space="preserve">procedimiento simplificado, </w:t>
      </w:r>
      <w:r w:rsidR="009D6211" w:rsidRPr="00B22822">
        <w:rPr>
          <w:color w:val="auto"/>
          <w:sz w:val="22"/>
          <w:szCs w:val="22"/>
        </w:rPr>
        <w:t xml:space="preserve">procedimiento por delito </w:t>
      </w:r>
      <w:r w:rsidRPr="00B22822">
        <w:rPr>
          <w:color w:val="auto"/>
          <w:sz w:val="22"/>
          <w:szCs w:val="22"/>
        </w:rPr>
        <w:t xml:space="preserve">de acción privada, </w:t>
      </w:r>
      <w:r w:rsidR="009D6211" w:rsidRPr="00B22822">
        <w:rPr>
          <w:color w:val="auto"/>
          <w:sz w:val="22"/>
          <w:szCs w:val="22"/>
        </w:rPr>
        <w:t xml:space="preserve">procedimiento </w:t>
      </w:r>
      <w:r w:rsidRPr="00B22822">
        <w:rPr>
          <w:color w:val="auto"/>
          <w:sz w:val="22"/>
          <w:szCs w:val="22"/>
        </w:rPr>
        <w:t xml:space="preserve">abreviado, </w:t>
      </w:r>
      <w:r w:rsidR="009D6211" w:rsidRPr="00B22822">
        <w:rPr>
          <w:color w:val="auto"/>
          <w:sz w:val="22"/>
          <w:szCs w:val="22"/>
        </w:rPr>
        <w:t xml:space="preserve">extradición, procedimiento para la aplicación exclusiva de medidas de seguridad, </w:t>
      </w:r>
      <w:r w:rsidRPr="00B22822">
        <w:rPr>
          <w:color w:val="auto"/>
          <w:sz w:val="22"/>
          <w:szCs w:val="22"/>
        </w:rPr>
        <w:t>ejecución de sentencias condenatorias</w:t>
      </w:r>
      <w:r w:rsidR="009D6211" w:rsidRPr="00B22822">
        <w:rPr>
          <w:color w:val="auto"/>
          <w:sz w:val="22"/>
          <w:szCs w:val="22"/>
        </w:rPr>
        <w:t xml:space="preserve"> y medidas de seguridad)</w:t>
      </w:r>
      <w:r w:rsidRPr="00B22822">
        <w:rPr>
          <w:color w:val="auto"/>
          <w:sz w:val="22"/>
          <w:szCs w:val="22"/>
        </w:rPr>
        <w:t xml:space="preserve">. </w:t>
      </w:r>
    </w:p>
    <w:p w:rsidR="00FC5B12" w:rsidRPr="00B22822" w:rsidRDefault="00FC5B12" w:rsidP="00FC5B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Lecturas para todo Procesal Penal:</w:t>
      </w:r>
    </w:p>
    <w:p w:rsidR="00FC5B12" w:rsidRPr="00B22822" w:rsidRDefault="00FC5B12" w:rsidP="00FC5B1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color w:val="1F4E79" w:themeColor="accent1" w:themeShade="80"/>
          <w:lang w:eastAsia="es-CL"/>
        </w:rPr>
      </w:pPr>
      <w:r w:rsidRPr="00B22822">
        <w:rPr>
          <w:rFonts w:ascii="Calibri" w:eastAsia="Calibri" w:hAnsi="Calibri" w:cs="Arial"/>
          <w:b/>
          <w:color w:val="1F4E79" w:themeColor="accent1" w:themeShade="80"/>
        </w:rPr>
        <w:t xml:space="preserve">“Derecho Procesal Penal Chileno; Principios, sujetos procesales, medidas cautelares, etapas de investigación” Tomo I; </w:t>
      </w:r>
      <w:proofErr w:type="spellStart"/>
      <w:r w:rsidRPr="00B22822">
        <w:rPr>
          <w:rFonts w:ascii="Calibri" w:eastAsia="Calibri" w:hAnsi="Calibri" w:cs="Arial"/>
          <w:b/>
          <w:color w:val="1F4E79" w:themeColor="accent1" w:themeShade="80"/>
        </w:rPr>
        <w:t>Horvitz</w:t>
      </w:r>
      <w:proofErr w:type="spellEnd"/>
      <w:r w:rsidRPr="00B22822">
        <w:rPr>
          <w:rFonts w:ascii="Calibri" w:eastAsia="Calibri" w:hAnsi="Calibri" w:cs="Arial"/>
          <w:b/>
          <w:color w:val="1F4E79" w:themeColor="accent1" w:themeShade="80"/>
        </w:rPr>
        <w:t xml:space="preserve"> Lennon, María Inés y López </w:t>
      </w:r>
      <w:proofErr w:type="spellStart"/>
      <w:r w:rsidRPr="00B22822">
        <w:rPr>
          <w:rFonts w:ascii="Calibri" w:eastAsia="Calibri" w:hAnsi="Calibri" w:cs="Arial"/>
          <w:b/>
          <w:color w:val="1F4E79" w:themeColor="accent1" w:themeShade="80"/>
        </w:rPr>
        <w:t>Masle</w:t>
      </w:r>
      <w:proofErr w:type="spellEnd"/>
      <w:r w:rsidRPr="00B22822">
        <w:rPr>
          <w:rFonts w:ascii="Calibri" w:eastAsia="Calibri" w:hAnsi="Calibri" w:cs="Arial"/>
          <w:b/>
          <w:color w:val="1F4E79" w:themeColor="accent1" w:themeShade="80"/>
        </w:rPr>
        <w:t>, Julián; Editorial Jurídica de Chile; Primera Edición; 2002</w:t>
      </w:r>
    </w:p>
    <w:p w:rsidR="00FC5B12" w:rsidRPr="00B22822" w:rsidRDefault="00FC5B12" w:rsidP="00FC5B1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 xml:space="preserve">“Minuta sobre las modificaciones introducidas por la Ley 20.931, denominada “Ley de Agenda Corta”; Departamento de Estudios; Defensoría Penal Pública. </w:t>
      </w:r>
    </w:p>
    <w:p w:rsidR="00FC5B12" w:rsidRPr="00B22822" w:rsidRDefault="00FC5B12" w:rsidP="00FC5B1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B22822">
        <w:rPr>
          <w:rFonts w:ascii="Calibri" w:hAnsi="Calibri"/>
          <w:b/>
          <w:color w:val="1F4E79" w:themeColor="accent1" w:themeShade="80"/>
        </w:rPr>
        <w:t>Minuta sobre “Recurso de nulidad y derechos fundamentales a la luz de la juris</w:t>
      </w:r>
      <w:r w:rsidR="00EF14E1" w:rsidRPr="00B22822">
        <w:rPr>
          <w:rFonts w:ascii="Calibri" w:hAnsi="Calibri"/>
          <w:b/>
          <w:color w:val="1F4E79" w:themeColor="accent1" w:themeShade="80"/>
        </w:rPr>
        <w:t>prudencia de la Corte Suprema”.</w:t>
      </w:r>
    </w:p>
    <w:p w:rsidR="00EF14E1" w:rsidRPr="00B22822" w:rsidRDefault="00EF14E1" w:rsidP="00FC5B1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hyperlink r:id="rId8" w:history="1">
        <w:r w:rsidRPr="00B22822">
          <w:rPr>
            <w:rStyle w:val="Hipervnculo"/>
          </w:rPr>
          <w:t>https://www.dropbox.com/sh/y17h449a8cwh6dw/AAC3eGDcOQ9O83cz80tdPOK0a?dl=0</w:t>
        </w:r>
      </w:hyperlink>
    </w:p>
    <w:p w:rsidR="00C95397" w:rsidRPr="00B22822" w:rsidRDefault="00C95397" w:rsidP="00AB506B">
      <w:pPr>
        <w:pStyle w:val="Default"/>
        <w:numPr>
          <w:ilvl w:val="0"/>
          <w:numId w:val="3"/>
        </w:numPr>
        <w:spacing w:line="360" w:lineRule="auto"/>
        <w:jc w:val="both"/>
        <w:rPr>
          <w:b/>
          <w:color w:val="auto"/>
          <w:sz w:val="22"/>
          <w:szCs w:val="22"/>
          <w:u w:val="single"/>
        </w:rPr>
      </w:pPr>
      <w:r w:rsidRPr="00B22822">
        <w:rPr>
          <w:b/>
          <w:bCs/>
          <w:color w:val="auto"/>
          <w:sz w:val="22"/>
          <w:szCs w:val="22"/>
          <w:u w:val="single"/>
        </w:rPr>
        <w:t>Derecho Penal</w:t>
      </w:r>
      <w:r w:rsidR="00915DBC" w:rsidRPr="00B22822">
        <w:rPr>
          <w:b/>
          <w:bCs/>
          <w:color w:val="auto"/>
          <w:sz w:val="22"/>
          <w:szCs w:val="22"/>
          <w:u w:val="single"/>
        </w:rPr>
        <w:t xml:space="preserve"> </w:t>
      </w:r>
      <w:r w:rsidRPr="00B22822">
        <w:rPr>
          <w:b/>
          <w:color w:val="auto"/>
          <w:sz w:val="22"/>
          <w:szCs w:val="22"/>
          <w:u w:val="single"/>
        </w:rPr>
        <w:t>Parte General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Teoría de la ley penal: </w:t>
      </w:r>
    </w:p>
    <w:p w:rsidR="00C95397" w:rsidRPr="00B22822" w:rsidRDefault="00C95397" w:rsidP="00C95397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leyes penales en blanco; </w:t>
      </w:r>
    </w:p>
    <w:p w:rsidR="00C95397" w:rsidRPr="00B22822" w:rsidRDefault="00C95397" w:rsidP="00C95397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interpretación de la ley penal;</w:t>
      </w:r>
    </w:p>
    <w:p w:rsidR="00C95397" w:rsidRPr="00B22822" w:rsidRDefault="00C95397" w:rsidP="00C95397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efectos de la ley penal en el espacio;</w:t>
      </w:r>
    </w:p>
    <w:p w:rsidR="00C95397" w:rsidRPr="00B22822" w:rsidRDefault="00C95397" w:rsidP="00C95397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efectos de la ley penal en el tiempo;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Estructura del delito: concepto y clasificaciones (crímenes, simples delitos y faltas; delitos de dominio del hecho e infracción de un deber).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Teoría de la acción: casos de ausencia de acción (por ejemplo, actos reflejos).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Tipicidad: Faz objetiva y subjetiva del tipo. Formas excepcionales de los tipos (delitos calificados por el resultado, condiciones objetivas de punibilidad y delitos preterintencionales).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Antijuridicidad: concepto y causales de justificación.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Culpabilidad: Concepto y componentes (imputabilidad, conciencia de la ilicitud y exigibilidad). Excusas Legales absolutorias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Circunstancias Modificatorias de Responsabilidad Penal: circunstancias atenuantes, agravantes y mixta</w:t>
      </w:r>
      <w:r w:rsidR="00005828" w:rsidRPr="00B22822">
        <w:rPr>
          <w:color w:val="auto"/>
          <w:sz w:val="22"/>
          <w:szCs w:val="22"/>
        </w:rPr>
        <w:t>s</w:t>
      </w:r>
      <w:r w:rsidRPr="00B22822">
        <w:rPr>
          <w:color w:val="auto"/>
          <w:sz w:val="22"/>
          <w:szCs w:val="22"/>
        </w:rPr>
        <w:t>. Efectos según régimen de determinación de pena.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B22822">
        <w:rPr>
          <w:color w:val="auto"/>
          <w:sz w:val="22"/>
          <w:szCs w:val="22"/>
        </w:rPr>
        <w:t>Iter</w:t>
      </w:r>
      <w:proofErr w:type="spellEnd"/>
      <w:r w:rsidRPr="00B22822">
        <w:rPr>
          <w:color w:val="auto"/>
          <w:sz w:val="22"/>
          <w:szCs w:val="22"/>
        </w:rPr>
        <w:t xml:space="preserve"> </w:t>
      </w:r>
      <w:proofErr w:type="spellStart"/>
      <w:r w:rsidRPr="00B22822">
        <w:rPr>
          <w:color w:val="auto"/>
          <w:sz w:val="22"/>
          <w:szCs w:val="22"/>
        </w:rPr>
        <w:t>criminis</w:t>
      </w:r>
      <w:proofErr w:type="spellEnd"/>
      <w:r w:rsidRPr="00B22822">
        <w:rPr>
          <w:color w:val="auto"/>
          <w:sz w:val="22"/>
          <w:szCs w:val="22"/>
        </w:rPr>
        <w:t>.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Autoría y participación (concurso de personas). 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Concurso de delitos: Unidad del delito (unidad natural, unidad jurídica y delito continuado); concurso real; concurso ideal; concurso aparente de leyes penales.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Teoría del delito omisivo: concepto, clasificación (delitos de omisión propia e impropia) y aplicación de las reglas generales a estos delitos.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Penas:</w:t>
      </w:r>
    </w:p>
    <w:p w:rsidR="00C95397" w:rsidRPr="00B22822" w:rsidRDefault="00C95397" w:rsidP="00C95397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rFonts w:cstheme="minorBidi"/>
          <w:color w:val="auto"/>
          <w:sz w:val="22"/>
          <w:szCs w:val="22"/>
        </w:rPr>
        <w:t>Concepto y clasificaciones.</w:t>
      </w:r>
    </w:p>
    <w:p w:rsidR="00C95397" w:rsidRPr="00B22822" w:rsidRDefault="00C95397" w:rsidP="00767858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Determinación de la pena: régimen general y sistemas especiales (Ley de Control de Armas, Ley del Tránsito, Ley 20.931) </w:t>
      </w:r>
    </w:p>
    <w:p w:rsidR="00C95397" w:rsidRPr="00B22822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Causales de extinción de la responsabilidad penal.</w:t>
      </w:r>
    </w:p>
    <w:p w:rsidR="00AD4B6F" w:rsidRPr="00B22822" w:rsidRDefault="00AD4B6F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Faltas</w:t>
      </w:r>
    </w:p>
    <w:p w:rsidR="00C95397" w:rsidRPr="00B22822" w:rsidRDefault="00C95397" w:rsidP="00C95397">
      <w:pPr>
        <w:pStyle w:val="Sinespaciado"/>
        <w:spacing w:line="360" w:lineRule="auto"/>
        <w:ind w:firstLine="708"/>
        <w:jc w:val="both"/>
        <w:rPr>
          <w:rFonts w:ascii="Calibri" w:hAnsi="Calibri"/>
          <w:b/>
          <w:color w:val="1F4E79" w:themeColor="accent1" w:themeShade="80"/>
        </w:rPr>
      </w:pPr>
      <w:r w:rsidRPr="00B22822">
        <w:rPr>
          <w:rFonts w:ascii="Calibri" w:hAnsi="Calibri"/>
          <w:b/>
          <w:color w:val="1F4E79" w:themeColor="accent1" w:themeShade="80"/>
        </w:rPr>
        <w:t>Lectura para toda Parte General:</w:t>
      </w:r>
    </w:p>
    <w:p w:rsidR="00C95397" w:rsidRPr="00B22822" w:rsidRDefault="00C95397" w:rsidP="00C95397">
      <w:pPr>
        <w:spacing w:after="0" w:line="360" w:lineRule="auto"/>
        <w:ind w:left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B22822">
        <w:rPr>
          <w:rFonts w:ascii="Calibri" w:eastAsia="Calibri" w:hAnsi="Calibri" w:cs="Arial"/>
          <w:b/>
          <w:color w:val="1F4E79" w:themeColor="accent1" w:themeShade="80"/>
        </w:rPr>
        <w:t>Código Penal</w:t>
      </w:r>
    </w:p>
    <w:p w:rsidR="00C95397" w:rsidRPr="00B22822" w:rsidRDefault="00C95397" w:rsidP="00C95397">
      <w:pPr>
        <w:spacing w:after="0" w:line="360" w:lineRule="auto"/>
        <w:ind w:left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B22822">
        <w:rPr>
          <w:rFonts w:ascii="Calibri" w:eastAsia="Calibri" w:hAnsi="Calibri" w:cs="Arial"/>
          <w:b/>
          <w:color w:val="1F4E79" w:themeColor="accent1" w:themeShade="80"/>
        </w:rPr>
        <w:t xml:space="preserve">Derecho Penal; Parte General; Enrique </w:t>
      </w:r>
      <w:proofErr w:type="spellStart"/>
      <w:r w:rsidRPr="00B22822">
        <w:rPr>
          <w:rFonts w:ascii="Calibri" w:eastAsia="Calibri" w:hAnsi="Calibri" w:cs="Arial"/>
          <w:b/>
          <w:color w:val="1F4E79" w:themeColor="accent1" w:themeShade="80"/>
        </w:rPr>
        <w:t>Cury</w:t>
      </w:r>
      <w:proofErr w:type="spellEnd"/>
      <w:r w:rsidRPr="00B22822">
        <w:rPr>
          <w:rFonts w:ascii="Calibri" w:eastAsia="Calibri" w:hAnsi="Calibri" w:cs="Arial"/>
          <w:b/>
          <w:color w:val="1F4E79" w:themeColor="accent1" w:themeShade="80"/>
        </w:rPr>
        <w:t xml:space="preserve"> Urzúa; Novena Edición; 2009</w:t>
      </w:r>
    </w:p>
    <w:p w:rsidR="00AD4B6F" w:rsidRPr="00B22822" w:rsidRDefault="00AD4B6F" w:rsidP="00AD4B6F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</w:rPr>
      </w:pPr>
    </w:p>
    <w:p w:rsidR="00C95397" w:rsidRPr="00B22822" w:rsidRDefault="00C95397" w:rsidP="00C95397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b/>
          <w:bCs/>
          <w:color w:val="auto"/>
          <w:sz w:val="22"/>
          <w:szCs w:val="22"/>
          <w:u w:val="single"/>
        </w:rPr>
        <w:t>Derecho Penal</w:t>
      </w:r>
      <w:r w:rsidRPr="00B22822">
        <w:rPr>
          <w:b/>
          <w:color w:val="auto"/>
          <w:sz w:val="22"/>
          <w:szCs w:val="22"/>
          <w:u w:val="single"/>
        </w:rPr>
        <w:t xml:space="preserve"> Parte Especial</w:t>
      </w:r>
    </w:p>
    <w:p w:rsidR="00710902" w:rsidRPr="00B22822" w:rsidRDefault="00710902" w:rsidP="00710902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b/>
          <w:i/>
          <w:color w:val="auto"/>
          <w:sz w:val="22"/>
          <w:szCs w:val="22"/>
          <w:u w:val="single"/>
        </w:rPr>
        <w:t>Delitos contra la</w:t>
      </w:r>
      <w:r w:rsidR="00005828" w:rsidRPr="00B22822">
        <w:rPr>
          <w:b/>
          <w:i/>
          <w:color w:val="auto"/>
          <w:sz w:val="22"/>
          <w:szCs w:val="22"/>
          <w:u w:val="single"/>
        </w:rPr>
        <w:t>s personas (menos calumnias e injurias)</w:t>
      </w:r>
    </w:p>
    <w:p w:rsidR="00710902" w:rsidRPr="00B22822" w:rsidRDefault="00710902" w:rsidP="00710902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Delitos del título VIII del Libro II del Código Penal (delitos contra las personas)</w:t>
      </w:r>
    </w:p>
    <w:p w:rsidR="00710902" w:rsidRPr="00B22822" w:rsidRDefault="00710902" w:rsidP="00710902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contra la vida humana independiente</w:t>
      </w:r>
    </w:p>
    <w:p w:rsidR="00A46FF4" w:rsidRPr="00B22822" w:rsidRDefault="00A46FF4" w:rsidP="00A46FF4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contra la salud individual (lesiones)</w:t>
      </w:r>
    </w:p>
    <w:p w:rsidR="007C0946" w:rsidRPr="00B22822" w:rsidRDefault="007C0946" w:rsidP="007C0946">
      <w:pPr>
        <w:spacing w:after="120" w:line="360" w:lineRule="auto"/>
        <w:ind w:left="709"/>
        <w:jc w:val="both"/>
        <w:rPr>
          <w:rFonts w:cs="Arial"/>
          <w:b/>
          <w:color w:val="1F4E79" w:themeColor="accent1" w:themeShade="80"/>
        </w:rPr>
      </w:pPr>
      <w:r w:rsidRPr="00B22822">
        <w:rPr>
          <w:rFonts w:cs="Arial"/>
          <w:b/>
          <w:color w:val="1F4E79" w:themeColor="accent1" w:themeShade="80"/>
        </w:rPr>
        <w:t>Lectura: Delitos contra la libertad de autodeterminación y la seguridad individual</w:t>
      </w:r>
    </w:p>
    <w:p w:rsidR="007C0946" w:rsidRPr="00B22822" w:rsidRDefault="007C0946" w:rsidP="007C0946">
      <w:pPr>
        <w:spacing w:after="120" w:line="360" w:lineRule="auto"/>
        <w:ind w:left="709"/>
        <w:jc w:val="both"/>
        <w:rPr>
          <w:b/>
          <w:color w:val="1F4E79" w:themeColor="accent1" w:themeShade="80"/>
        </w:rPr>
      </w:pPr>
      <w:proofErr w:type="spellStart"/>
      <w:r w:rsidRPr="00B22822">
        <w:rPr>
          <w:rFonts w:cs="Arial"/>
          <w:b/>
          <w:color w:val="1F4E79" w:themeColor="accent1" w:themeShade="80"/>
        </w:rPr>
        <w:t>Politoff</w:t>
      </w:r>
      <w:proofErr w:type="spellEnd"/>
      <w:r w:rsidRPr="00B22822">
        <w:rPr>
          <w:rFonts w:cs="Arial"/>
          <w:b/>
          <w:color w:val="1F4E79" w:themeColor="accent1" w:themeShade="80"/>
        </w:rPr>
        <w:t>, Matus y Ramírez</w:t>
      </w:r>
      <w:r w:rsidRPr="00B22822">
        <w:rPr>
          <w:b/>
          <w:color w:val="1F4E79" w:themeColor="accent1" w:themeShade="80"/>
        </w:rPr>
        <w:t xml:space="preserve">; </w:t>
      </w:r>
      <w:r w:rsidRPr="00B22822">
        <w:rPr>
          <w:rFonts w:cs="Arial"/>
          <w:b/>
          <w:color w:val="1F4E79" w:themeColor="accent1" w:themeShade="80"/>
        </w:rPr>
        <w:t>Lecciones de Derecho Penal Chileno, Parte General; Tomo I; Segunda Edición Actualizada; Editorial Jurídica de Chile; Santiago; 2006</w:t>
      </w:r>
    </w:p>
    <w:p w:rsidR="00655BBD" w:rsidRPr="00B22822" w:rsidRDefault="00655BBD" w:rsidP="00655BBD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Minu</w:t>
      </w:r>
      <w:r w:rsidR="00EF14E1" w:rsidRPr="00B22822">
        <w:rPr>
          <w:rFonts w:ascii="Calibri" w:hAnsi="Calibri" w:cs="Arial"/>
          <w:b/>
          <w:color w:val="1F4E79" w:themeColor="accent1" w:themeShade="80"/>
        </w:rPr>
        <w:t xml:space="preserve">ta “El delito de </w:t>
      </w:r>
      <w:proofErr w:type="spellStart"/>
      <w:r w:rsidR="00EF14E1" w:rsidRPr="00B22822">
        <w:rPr>
          <w:rFonts w:ascii="Calibri" w:hAnsi="Calibri" w:cs="Arial"/>
          <w:b/>
          <w:color w:val="1F4E79" w:themeColor="accent1" w:themeShade="80"/>
        </w:rPr>
        <w:t>femicidio</w:t>
      </w:r>
      <w:proofErr w:type="spellEnd"/>
      <w:r w:rsidR="00EF14E1" w:rsidRPr="00B22822">
        <w:rPr>
          <w:rFonts w:ascii="Calibri" w:hAnsi="Calibri" w:cs="Arial"/>
          <w:b/>
          <w:color w:val="1F4E79" w:themeColor="accent1" w:themeShade="80"/>
        </w:rPr>
        <w:t>”</w:t>
      </w:r>
    </w:p>
    <w:p w:rsidR="00F61E21" w:rsidRPr="00B22822" w:rsidRDefault="00F61E21" w:rsidP="00F61E21">
      <w:pPr>
        <w:spacing w:after="120" w:line="360" w:lineRule="auto"/>
        <w:ind w:left="709"/>
        <w:jc w:val="both"/>
        <w:rPr>
          <w:rFonts w:cs="Arial"/>
          <w:b/>
          <w:color w:val="1F4E79" w:themeColor="accent1" w:themeShade="80"/>
        </w:rPr>
      </w:pPr>
      <w:r w:rsidRPr="00B22822">
        <w:rPr>
          <w:rFonts w:cs="Arial"/>
          <w:b/>
          <w:bCs/>
          <w:color w:val="1F4E79" w:themeColor="accent1" w:themeShade="80"/>
        </w:rPr>
        <w:t>Lectura: Ley N° 20.507 Tipifica </w:t>
      </w:r>
      <w:r w:rsidRPr="00B22822">
        <w:rPr>
          <w:rStyle w:val="solext2"/>
          <w:rFonts w:cs="Arial"/>
          <w:b/>
          <w:bCs/>
          <w:color w:val="1F4E79" w:themeColor="accent1" w:themeShade="80"/>
        </w:rPr>
        <w:t>los</w:t>
      </w:r>
      <w:r w:rsidRPr="00B22822">
        <w:rPr>
          <w:rFonts w:cs="Arial"/>
          <w:b/>
          <w:bCs/>
          <w:color w:val="1F4E79" w:themeColor="accent1" w:themeShade="80"/>
        </w:rPr>
        <w:t> delitos de tráfico ilícito de migrantes y trata de personas y establece normas para su prevención y más efectiva persecución criminal N°5/2011/Agosto. Minuta - Departamento de Estudios - Defensoría Nacional</w:t>
      </w:r>
      <w:r w:rsidR="00EF14E1" w:rsidRPr="00B22822">
        <w:rPr>
          <w:rFonts w:cs="Arial"/>
          <w:b/>
          <w:color w:val="1F4E79" w:themeColor="accent1" w:themeShade="80"/>
        </w:rPr>
        <w:t>.</w:t>
      </w:r>
    </w:p>
    <w:p w:rsidR="00EF14E1" w:rsidRPr="00B22822" w:rsidRDefault="00EF14E1" w:rsidP="00F61E21">
      <w:pPr>
        <w:spacing w:after="120" w:line="360" w:lineRule="auto"/>
        <w:ind w:left="709"/>
        <w:jc w:val="both"/>
        <w:rPr>
          <w:rFonts w:cs="Arial"/>
          <w:b/>
          <w:color w:val="1F4E79" w:themeColor="accent1" w:themeShade="80"/>
        </w:rPr>
      </w:pPr>
      <w:hyperlink r:id="rId9" w:history="1">
        <w:r w:rsidRPr="00B22822">
          <w:rPr>
            <w:rStyle w:val="Hipervnculo"/>
          </w:rPr>
          <w:t>https://www.dropbox.com/sh/y17h449a8cwh6dw/AAC3eGDcOQ9O83cz80tdPOK0a?dl=0</w:t>
        </w:r>
      </w:hyperlink>
    </w:p>
    <w:p w:rsidR="00710902" w:rsidRPr="00B22822" w:rsidRDefault="00710902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b/>
          <w:i/>
          <w:color w:val="auto"/>
          <w:sz w:val="22"/>
          <w:szCs w:val="22"/>
          <w:u w:val="single"/>
        </w:rPr>
        <w:t>Delitos contra la propiedad y el patrimonio</w:t>
      </w:r>
    </w:p>
    <w:p w:rsidR="00710902" w:rsidRPr="00B22822" w:rsidRDefault="00710902" w:rsidP="00710902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Delitos del título IX del Libro II del Código Penal (delitos contra la propiedad), salvo delitos concursales.</w:t>
      </w:r>
    </w:p>
    <w:p w:rsidR="00710902" w:rsidRPr="00B22822" w:rsidRDefault="00710902" w:rsidP="00710902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contra la propiedad y el patrimonio y delitos de enriquecimiento por apoderamiento, sin violencia: hurtos</w:t>
      </w:r>
    </w:p>
    <w:p w:rsidR="00710902" w:rsidRPr="00B22822" w:rsidRDefault="00710902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de apoderamiento sin violencia, con peligro para las personas: Robo con fuerza en las cosas</w:t>
      </w:r>
    </w:p>
    <w:p w:rsidR="00710902" w:rsidRPr="00B22822" w:rsidRDefault="00710902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de enriquecimiento por apoderamiento, con peligro o daño de la vida, salud o seguridad de las personas: Robo con violencia o intimidación</w:t>
      </w:r>
    </w:p>
    <w:p w:rsidR="00710902" w:rsidRPr="00B22822" w:rsidRDefault="00710902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lastRenderedPageBreak/>
        <w:t>Lectura: Disposiciones comunes a los delitos de hurto y robo</w:t>
      </w:r>
    </w:p>
    <w:p w:rsidR="009A44B3" w:rsidRPr="00B22822" w:rsidRDefault="009A44B3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de enriquecimiento por ocupación y usurpación de propiedades y derechos inmuebles, y de derechos reales de aprovechamiento de aguas</w:t>
      </w:r>
    </w:p>
    <w:p w:rsidR="009A44B3" w:rsidRPr="00B22822" w:rsidRDefault="009A44B3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de enriquecimiento por defraudación: estafas y otros engaños</w:t>
      </w:r>
    </w:p>
    <w:p w:rsidR="009A44B3" w:rsidRPr="00B22822" w:rsidRDefault="009A44B3" w:rsidP="009A44B3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contra la destrucción contra la propiedad y el patrimonio</w:t>
      </w:r>
    </w:p>
    <w:p w:rsidR="00710902" w:rsidRPr="00B22822" w:rsidRDefault="00710902" w:rsidP="00710902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proofErr w:type="spellStart"/>
      <w:r w:rsidRPr="00B22822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B22822">
        <w:rPr>
          <w:rFonts w:ascii="Calibri" w:hAnsi="Calibri" w:cs="Arial"/>
          <w:b/>
          <w:color w:val="1F4E79" w:themeColor="accent1" w:themeShade="80"/>
        </w:rPr>
        <w:t>, Matus y Ramírez</w:t>
      </w:r>
      <w:r w:rsidRPr="00B22822">
        <w:rPr>
          <w:rFonts w:ascii="Calibri" w:hAnsi="Calibri"/>
          <w:b/>
          <w:color w:val="1F4E79" w:themeColor="accent1" w:themeShade="80"/>
        </w:rPr>
        <w:t xml:space="preserve">; </w:t>
      </w:r>
      <w:r w:rsidRPr="00B22822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710902" w:rsidRPr="00B22822" w:rsidRDefault="00710902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 xml:space="preserve"> “Minuta sobre las modificaciones introducidas por la Ley 20.931, denominada “Ley de Agenda Corta”; Departamento de Estudios; Defensoría Penal Pública. </w:t>
      </w:r>
    </w:p>
    <w:p w:rsidR="00EF14E1" w:rsidRPr="00B22822" w:rsidRDefault="00EF14E1" w:rsidP="00710902">
      <w:pPr>
        <w:spacing w:after="0" w:line="360" w:lineRule="auto"/>
        <w:ind w:left="708" w:hanging="3"/>
        <w:jc w:val="both"/>
        <w:rPr>
          <w:rStyle w:val="Hipervnculo"/>
          <w:rFonts w:ascii="Calibri" w:hAnsi="Calibri" w:cs="Arial"/>
          <w:b/>
          <w:color w:val="1F4E79" w:themeColor="accent1" w:themeShade="80"/>
        </w:rPr>
      </w:pPr>
      <w:hyperlink r:id="rId10" w:history="1">
        <w:r w:rsidRPr="00B22822">
          <w:rPr>
            <w:rStyle w:val="Hipervnculo"/>
          </w:rPr>
          <w:t>https://www.dropbox.com/sh/y17h449a8cwh6dw/AAC3eGDcOQ9O83cz80tdPOK0a?dl=0</w:t>
        </w:r>
      </w:hyperlink>
    </w:p>
    <w:p w:rsidR="009A44B3" w:rsidRPr="00B22822" w:rsidRDefault="009A44B3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b/>
          <w:i/>
          <w:color w:val="auto"/>
          <w:sz w:val="22"/>
          <w:szCs w:val="22"/>
          <w:u w:val="single"/>
        </w:rPr>
        <w:t>Delitos de coacción y contra la libertad e intimidad de las personas</w:t>
      </w:r>
    </w:p>
    <w:p w:rsidR="00197415" w:rsidRPr="00B22822" w:rsidRDefault="00197415" w:rsidP="009A44B3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Crímenes y simples d</w:t>
      </w:r>
      <w:r w:rsidR="00C95397" w:rsidRPr="00B22822">
        <w:rPr>
          <w:color w:val="auto"/>
          <w:sz w:val="22"/>
          <w:szCs w:val="22"/>
        </w:rPr>
        <w:t xml:space="preserve">elitos </w:t>
      </w:r>
      <w:r w:rsidRPr="00B22822">
        <w:rPr>
          <w:color w:val="auto"/>
          <w:sz w:val="22"/>
          <w:szCs w:val="22"/>
        </w:rPr>
        <w:t xml:space="preserve">contra la libertad y seguridad, cometidos por particulares, </w:t>
      </w:r>
      <w:r w:rsidR="00C95397" w:rsidRPr="00B22822">
        <w:rPr>
          <w:color w:val="auto"/>
          <w:sz w:val="22"/>
          <w:szCs w:val="22"/>
        </w:rPr>
        <w:t xml:space="preserve">del </w:t>
      </w:r>
      <w:r w:rsidRPr="00B22822">
        <w:rPr>
          <w:color w:val="auto"/>
          <w:sz w:val="22"/>
          <w:szCs w:val="22"/>
        </w:rPr>
        <w:t xml:space="preserve">párrafo 3 del </w:t>
      </w:r>
      <w:r w:rsidR="00C95397" w:rsidRPr="00B22822">
        <w:rPr>
          <w:color w:val="auto"/>
          <w:sz w:val="22"/>
          <w:szCs w:val="22"/>
        </w:rPr>
        <w:t>título III del Libro II del Código Penal</w:t>
      </w:r>
      <w:r w:rsidRPr="00B22822">
        <w:rPr>
          <w:color w:val="auto"/>
          <w:sz w:val="22"/>
          <w:szCs w:val="22"/>
        </w:rPr>
        <w:t>.</w:t>
      </w:r>
    </w:p>
    <w:p w:rsidR="00197415" w:rsidRPr="00B22822" w:rsidRDefault="00197415" w:rsidP="009A44B3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De los agravios inferidos por funcionarios público a los derechos garantizados por la Constitución, del párrafo 4 del título II del Libro III del Código Penal.</w:t>
      </w:r>
    </w:p>
    <w:p w:rsidR="00197415" w:rsidRPr="00B22822" w:rsidRDefault="00197415" w:rsidP="009A44B3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De los delitos contra el respeto y protección a la vida privada y pública de la persona y su familia, del párrafo 5 del título III del Libro II del Código Penal.</w:t>
      </w:r>
    </w:p>
    <w:p w:rsidR="00197415" w:rsidRPr="00B22822" w:rsidRDefault="00197415" w:rsidP="009A44B3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Atentados y amenazas contra fiscales del Ministerio Público y defensores penales públicos del párrafo 1 bis del </w:t>
      </w:r>
      <w:r w:rsidR="00942912" w:rsidRPr="00B22822">
        <w:rPr>
          <w:color w:val="auto"/>
          <w:sz w:val="22"/>
          <w:szCs w:val="22"/>
        </w:rPr>
        <w:t>título VI del Libro II del Código Penal</w:t>
      </w:r>
      <w:r w:rsidRPr="00B22822">
        <w:rPr>
          <w:color w:val="auto"/>
          <w:sz w:val="22"/>
          <w:szCs w:val="22"/>
        </w:rPr>
        <w:t>.</w:t>
      </w:r>
    </w:p>
    <w:p w:rsidR="00197415" w:rsidRPr="00B22822" w:rsidRDefault="00197415" w:rsidP="009A44B3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De las amenazas de atentado contra las personas y propiedades del párrafo 11 del título VI del Libro II del Código Penal.</w:t>
      </w:r>
    </w:p>
    <w:p w:rsidR="00942912" w:rsidRPr="00B22822" w:rsidRDefault="00942912" w:rsidP="00942912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contra la libertad de autodeterminación y la seguridad individual</w:t>
      </w:r>
    </w:p>
    <w:p w:rsidR="00942912" w:rsidRPr="00B22822" w:rsidRDefault="00942912" w:rsidP="00942912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contra la libertad ambulatoria y la seguridad individual</w:t>
      </w:r>
    </w:p>
    <w:p w:rsidR="00942912" w:rsidRPr="00B22822" w:rsidRDefault="00942912" w:rsidP="00942912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proofErr w:type="spellStart"/>
      <w:r w:rsidRPr="00B22822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B22822">
        <w:rPr>
          <w:rFonts w:ascii="Calibri" w:hAnsi="Calibri" w:cs="Arial"/>
          <w:b/>
          <w:color w:val="1F4E79" w:themeColor="accent1" w:themeShade="80"/>
        </w:rPr>
        <w:t>, Matus y Ramírez</w:t>
      </w:r>
      <w:r w:rsidRPr="00B22822">
        <w:rPr>
          <w:rFonts w:ascii="Calibri" w:hAnsi="Calibri"/>
          <w:b/>
          <w:color w:val="1F4E79" w:themeColor="accent1" w:themeShade="80"/>
        </w:rPr>
        <w:t xml:space="preserve">; </w:t>
      </w:r>
      <w:r w:rsidRPr="00B22822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C95397" w:rsidRPr="00B22822" w:rsidRDefault="00942912" w:rsidP="00C95397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</w:rPr>
      </w:pPr>
      <w:r w:rsidRPr="00B22822">
        <w:rPr>
          <w:b/>
          <w:color w:val="1F4E79" w:themeColor="accent1" w:themeShade="80"/>
          <w:sz w:val="22"/>
          <w:szCs w:val="22"/>
        </w:rPr>
        <w:t>Lectura: Protección Penal de la Integridad Física y Psíquica de la Persona (II). Delitos de tortura y otros tratos crueles, inhumanos y degradantes</w:t>
      </w:r>
    </w:p>
    <w:p w:rsidR="00942912" w:rsidRPr="00B22822" w:rsidRDefault="00942912" w:rsidP="00942912">
      <w:pPr>
        <w:pStyle w:val="Sinespaciado"/>
        <w:spacing w:line="360" w:lineRule="auto"/>
        <w:ind w:left="708"/>
        <w:jc w:val="both"/>
        <w:rPr>
          <w:rFonts w:ascii="Calibri" w:hAnsi="Calibri"/>
          <w:b/>
          <w:color w:val="1F4E79" w:themeColor="accent1" w:themeShade="80"/>
        </w:rPr>
      </w:pPr>
      <w:r w:rsidRPr="00B22822">
        <w:rPr>
          <w:rFonts w:ascii="Calibri" w:hAnsi="Calibri"/>
          <w:b/>
          <w:color w:val="1F4E79" w:themeColor="accent1" w:themeShade="80"/>
        </w:rPr>
        <w:t xml:space="preserve">Matus Acuña, Jean Pierre y Ramírez Guzmán, María Cecilia; “Manuela de Derecho Penal Chileno”; Parte Especial; Editorial </w:t>
      </w:r>
      <w:proofErr w:type="spellStart"/>
      <w:r w:rsidRPr="00B22822">
        <w:rPr>
          <w:rFonts w:ascii="Calibri" w:hAnsi="Calibri"/>
          <w:b/>
          <w:color w:val="1F4E79" w:themeColor="accent1" w:themeShade="80"/>
        </w:rPr>
        <w:t>Turant</w:t>
      </w:r>
      <w:proofErr w:type="spellEnd"/>
      <w:r w:rsidRPr="00B22822">
        <w:rPr>
          <w:rFonts w:ascii="Calibri" w:hAnsi="Calibri"/>
          <w:b/>
          <w:color w:val="1F4E79" w:themeColor="accent1" w:themeShade="80"/>
        </w:rPr>
        <w:t xml:space="preserve"> lo Blanch; Valencia; 2017</w:t>
      </w:r>
    </w:p>
    <w:p w:rsidR="00942912" w:rsidRPr="00B22822" w:rsidRDefault="00942912" w:rsidP="00C95397">
      <w:pPr>
        <w:pStyle w:val="Default"/>
        <w:spacing w:line="360" w:lineRule="auto"/>
        <w:ind w:left="720"/>
        <w:jc w:val="both"/>
        <w:rPr>
          <w:b/>
          <w:i/>
          <w:color w:val="auto"/>
          <w:sz w:val="22"/>
          <w:szCs w:val="22"/>
          <w:u w:val="single"/>
        </w:rPr>
      </w:pPr>
    </w:p>
    <w:p w:rsidR="00942912" w:rsidRPr="00B22822" w:rsidRDefault="00942912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b/>
          <w:i/>
          <w:color w:val="auto"/>
          <w:sz w:val="22"/>
          <w:szCs w:val="22"/>
          <w:u w:val="single"/>
        </w:rPr>
      </w:pPr>
      <w:r w:rsidRPr="00B22822">
        <w:rPr>
          <w:b/>
          <w:i/>
          <w:color w:val="auto"/>
          <w:sz w:val="22"/>
          <w:szCs w:val="22"/>
          <w:u w:val="single"/>
        </w:rPr>
        <w:lastRenderedPageBreak/>
        <w:t>Delitos funcionarios</w:t>
      </w:r>
    </w:p>
    <w:p w:rsidR="00C95397" w:rsidRPr="00B22822" w:rsidRDefault="00C95397" w:rsidP="00942912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D</w:t>
      </w:r>
      <w:r w:rsidR="00246FCC" w:rsidRPr="00B22822">
        <w:rPr>
          <w:color w:val="auto"/>
          <w:sz w:val="22"/>
          <w:szCs w:val="22"/>
        </w:rPr>
        <w:t xml:space="preserve">e los crímenes y simples delitos cometidos por empleados públicos en el desempeño de sus cargos, del </w:t>
      </w:r>
      <w:r w:rsidRPr="00B22822">
        <w:rPr>
          <w:color w:val="auto"/>
          <w:sz w:val="22"/>
          <w:szCs w:val="22"/>
        </w:rPr>
        <w:t>título V del Libro II del Código Penal</w:t>
      </w:r>
      <w:r w:rsidR="00246FCC" w:rsidRPr="00B22822">
        <w:rPr>
          <w:color w:val="auto"/>
          <w:sz w:val="22"/>
          <w:szCs w:val="22"/>
        </w:rPr>
        <w:t>.</w:t>
      </w:r>
    </w:p>
    <w:p w:rsidR="00C95397" w:rsidRPr="00B22822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cometidos por los empleados públicos en el desempeño de sus cargos que afectan la probidad administrativa.</w:t>
      </w:r>
    </w:p>
    <w:p w:rsidR="00C95397" w:rsidRPr="00B22822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cometidos por los empleados públicos en el desempeño de sus cargos que afectan la confianza pública depositada en los funcionarios públicos.</w:t>
      </w:r>
    </w:p>
    <w:p w:rsidR="00C95397" w:rsidRPr="00B22822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cometidos por funcionarios públicos en el desempeño de sus cargos que afectan el buen funcionamiento de la administración</w:t>
      </w:r>
    </w:p>
    <w:p w:rsidR="00C95397" w:rsidRPr="00B22822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contra la recta administración de justicia y la fe pública cometidos por magistrados, abogados y otros funcionarios públicos</w:t>
      </w:r>
    </w:p>
    <w:p w:rsidR="00C95397" w:rsidRPr="00B22822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color w:val="1F4E79" w:themeColor="accent1" w:themeShade="80"/>
        </w:rPr>
      </w:pPr>
      <w:proofErr w:type="spellStart"/>
      <w:r w:rsidRPr="00B22822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B22822">
        <w:rPr>
          <w:rFonts w:ascii="Calibri" w:hAnsi="Calibri" w:cs="Arial"/>
          <w:b/>
          <w:color w:val="1F4E79" w:themeColor="accent1" w:themeShade="80"/>
        </w:rPr>
        <w:t>, Matus y Ramírez</w:t>
      </w:r>
      <w:r w:rsidRPr="00B22822">
        <w:rPr>
          <w:rFonts w:ascii="Calibri" w:hAnsi="Calibri"/>
          <w:b/>
          <w:color w:val="1F4E79" w:themeColor="accent1" w:themeShade="80"/>
        </w:rPr>
        <w:t xml:space="preserve">; </w:t>
      </w:r>
      <w:r w:rsidRPr="00B22822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C95397" w:rsidRPr="00B22822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de falsedad</w:t>
      </w:r>
    </w:p>
    <w:p w:rsidR="00C95397" w:rsidRPr="00B22822" w:rsidRDefault="00C95397" w:rsidP="00C95397">
      <w:pPr>
        <w:pStyle w:val="Textonotapie"/>
        <w:spacing w:line="360" w:lineRule="auto"/>
        <w:ind w:left="720"/>
        <w:jc w:val="both"/>
        <w:rPr>
          <w:rFonts w:ascii="Calibri" w:hAnsi="Calibri" w:cs="Arial"/>
          <w:bCs/>
          <w:color w:val="1F4E79" w:themeColor="accent1" w:themeShade="80"/>
          <w:sz w:val="22"/>
          <w:szCs w:val="22"/>
        </w:rPr>
      </w:pPr>
      <w:r w:rsidRPr="00B22822">
        <w:rPr>
          <w:rFonts w:ascii="Calibri" w:hAnsi="Calibri" w:cs="Arial"/>
          <w:b/>
          <w:color w:val="1F4E79" w:themeColor="accent1" w:themeShade="80"/>
          <w:sz w:val="22"/>
          <w:szCs w:val="22"/>
        </w:rPr>
        <w:t>Garrido Montt, Mario; Derecho Penal, Parte Especial; Tomo IV; Editorial Jurídica de Chile; Tercera Edición; 2007</w:t>
      </w:r>
    </w:p>
    <w:p w:rsidR="00942912" w:rsidRPr="00B22822" w:rsidRDefault="00942912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b/>
          <w:i/>
          <w:color w:val="auto"/>
          <w:sz w:val="22"/>
          <w:szCs w:val="22"/>
          <w:u w:val="single"/>
        </w:rPr>
      </w:pPr>
      <w:r w:rsidRPr="00B22822">
        <w:rPr>
          <w:b/>
          <w:i/>
          <w:color w:val="auto"/>
          <w:sz w:val="22"/>
          <w:szCs w:val="22"/>
          <w:u w:val="single"/>
        </w:rPr>
        <w:t>Delitos contra la libertad e indemnidad sexual</w:t>
      </w:r>
    </w:p>
    <w:p w:rsidR="00C95397" w:rsidRPr="00B22822" w:rsidRDefault="00246FCC" w:rsidP="00942912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Crímenes y delitos contra el orden de las familias, contra la moralidad pública y contra la integridad sexual </w:t>
      </w:r>
      <w:r w:rsidR="00C95397" w:rsidRPr="00B22822">
        <w:rPr>
          <w:color w:val="auto"/>
          <w:sz w:val="22"/>
          <w:szCs w:val="22"/>
        </w:rPr>
        <w:t>del título VII del Libro II del Código Penal</w:t>
      </w:r>
      <w:r w:rsidRPr="00B22822">
        <w:rPr>
          <w:color w:val="auto"/>
          <w:sz w:val="22"/>
          <w:szCs w:val="22"/>
        </w:rPr>
        <w:t xml:space="preserve"> (menos párrafos 2, abandono de niños y personas desvalidas, párrafo 3, crímenes y simples delitos contra el estado civil de las personas y párrafo 10, celebración de matrimonios ilegales)</w:t>
      </w:r>
    </w:p>
    <w:p w:rsidR="00C95397" w:rsidRPr="00B22822" w:rsidRDefault="00C95397" w:rsidP="00C95397">
      <w:pPr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 xml:space="preserve">Lectura: Delitos contra la vida </w:t>
      </w:r>
      <w:r w:rsidR="00942912" w:rsidRPr="00B22822">
        <w:rPr>
          <w:rFonts w:ascii="Calibri" w:hAnsi="Calibri" w:cs="Arial"/>
          <w:b/>
          <w:color w:val="1F4E79" w:themeColor="accent1" w:themeShade="80"/>
        </w:rPr>
        <w:t xml:space="preserve">humana dependiente </w:t>
      </w:r>
      <w:r w:rsidRPr="00B22822">
        <w:rPr>
          <w:rFonts w:ascii="Calibri" w:hAnsi="Calibri" w:cs="Arial"/>
          <w:b/>
          <w:color w:val="1F4E79" w:themeColor="accent1" w:themeShade="80"/>
        </w:rPr>
        <w:t>(aborto)</w:t>
      </w:r>
    </w:p>
    <w:p w:rsidR="00C95397" w:rsidRPr="00B22822" w:rsidRDefault="00C95397" w:rsidP="00C95397">
      <w:pPr>
        <w:spacing w:after="0" w:line="360" w:lineRule="auto"/>
        <w:ind w:left="705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contra la libertad e indemnidad sexual y la honestidad</w:t>
      </w:r>
    </w:p>
    <w:p w:rsidR="00C95397" w:rsidRPr="00B22822" w:rsidRDefault="00C95397" w:rsidP="00C95397">
      <w:pPr>
        <w:spacing w:after="0" w:line="360" w:lineRule="auto"/>
        <w:ind w:left="708" w:hanging="3"/>
        <w:jc w:val="both"/>
        <w:rPr>
          <w:rFonts w:ascii="Calibri" w:hAnsi="Calibri"/>
          <w:b/>
          <w:color w:val="1F4E79" w:themeColor="accent1" w:themeShade="80"/>
        </w:rPr>
      </w:pPr>
      <w:proofErr w:type="spellStart"/>
      <w:r w:rsidRPr="00B22822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B22822">
        <w:rPr>
          <w:rFonts w:ascii="Calibri" w:hAnsi="Calibri" w:cs="Arial"/>
          <w:b/>
          <w:color w:val="1F4E79" w:themeColor="accent1" w:themeShade="80"/>
        </w:rPr>
        <w:t>, Matus y Ramírez</w:t>
      </w:r>
      <w:r w:rsidRPr="00B22822">
        <w:rPr>
          <w:rFonts w:ascii="Calibri" w:hAnsi="Calibri"/>
          <w:b/>
          <w:color w:val="1F4E79" w:themeColor="accent1" w:themeShade="80"/>
        </w:rPr>
        <w:t xml:space="preserve">; </w:t>
      </w:r>
      <w:r w:rsidRPr="00B22822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87020C" w:rsidRPr="00B22822" w:rsidRDefault="00C95397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b/>
          <w:i/>
          <w:color w:val="auto"/>
          <w:sz w:val="22"/>
          <w:szCs w:val="22"/>
          <w:u w:val="single"/>
        </w:rPr>
      </w:pPr>
      <w:r w:rsidRPr="00B22822">
        <w:rPr>
          <w:b/>
          <w:i/>
          <w:color w:val="auto"/>
          <w:sz w:val="22"/>
          <w:szCs w:val="22"/>
          <w:u w:val="single"/>
        </w:rPr>
        <w:t xml:space="preserve">Delitos </w:t>
      </w:r>
      <w:r w:rsidR="0087020C" w:rsidRPr="00B22822">
        <w:rPr>
          <w:b/>
          <w:i/>
          <w:color w:val="auto"/>
          <w:sz w:val="22"/>
          <w:szCs w:val="22"/>
          <w:u w:val="single"/>
        </w:rPr>
        <w:t>imprudentes</w:t>
      </w:r>
    </w:p>
    <w:p w:rsidR="00C95397" w:rsidRPr="00B22822" w:rsidRDefault="00C95397" w:rsidP="0087020C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De</w:t>
      </w:r>
      <w:r w:rsidR="00AD4B6F" w:rsidRPr="00B22822">
        <w:rPr>
          <w:color w:val="auto"/>
          <w:sz w:val="22"/>
          <w:szCs w:val="22"/>
        </w:rPr>
        <w:t xml:space="preserve"> los Cuasidelitos del </w:t>
      </w:r>
      <w:r w:rsidRPr="00B22822">
        <w:rPr>
          <w:color w:val="auto"/>
          <w:sz w:val="22"/>
          <w:szCs w:val="22"/>
        </w:rPr>
        <w:t>título X  del Libro II del Código Penal</w:t>
      </w:r>
    </w:p>
    <w:p w:rsidR="00C95397" w:rsidRPr="00B22822" w:rsidRDefault="00C95397" w:rsidP="00EE1ED9">
      <w:pPr>
        <w:pStyle w:val="Sinespaciado"/>
        <w:spacing w:line="360" w:lineRule="auto"/>
        <w:ind w:left="720"/>
        <w:jc w:val="both"/>
        <w:rPr>
          <w:color w:val="1F4E79" w:themeColor="accent1" w:themeShade="80"/>
          <w:u w:val="single"/>
        </w:rPr>
      </w:pPr>
      <w:r w:rsidRPr="00B22822">
        <w:rPr>
          <w:rFonts w:ascii="Calibri" w:hAnsi="Calibri"/>
          <w:b/>
          <w:color w:val="1F4E79" w:themeColor="accent1" w:themeShade="80"/>
        </w:rPr>
        <w:t>Lectura:</w:t>
      </w:r>
      <w:r w:rsidR="00EE1ED9" w:rsidRPr="00B22822">
        <w:rPr>
          <w:rFonts w:ascii="Calibri" w:hAnsi="Calibri"/>
          <w:b/>
          <w:color w:val="1F4E79" w:themeColor="accent1" w:themeShade="80"/>
        </w:rPr>
        <w:t xml:space="preserve"> </w:t>
      </w:r>
      <w:r w:rsidRPr="00B22822">
        <w:rPr>
          <w:rFonts w:eastAsia="Calibri" w:cs="Arial"/>
          <w:b/>
          <w:color w:val="1F4E79" w:themeColor="accent1" w:themeShade="80"/>
        </w:rPr>
        <w:t xml:space="preserve">Derecho Penal; Parte General; Enrique </w:t>
      </w:r>
      <w:proofErr w:type="spellStart"/>
      <w:r w:rsidRPr="00B22822">
        <w:rPr>
          <w:rFonts w:eastAsia="Calibri" w:cs="Arial"/>
          <w:b/>
          <w:color w:val="1F4E79" w:themeColor="accent1" w:themeShade="80"/>
        </w:rPr>
        <w:t>Cury</w:t>
      </w:r>
      <w:proofErr w:type="spellEnd"/>
      <w:r w:rsidRPr="00B22822">
        <w:rPr>
          <w:rFonts w:eastAsia="Calibri" w:cs="Arial"/>
          <w:b/>
          <w:color w:val="1F4E79" w:themeColor="accent1" w:themeShade="80"/>
        </w:rPr>
        <w:t xml:space="preserve"> Urzúa; Novena Edición; 2009</w:t>
      </w:r>
    </w:p>
    <w:p w:rsidR="00C95397" w:rsidRPr="00B22822" w:rsidRDefault="00C95397" w:rsidP="00C95397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  <w:u w:val="single"/>
        </w:rPr>
      </w:pPr>
      <w:r w:rsidRPr="00B22822">
        <w:rPr>
          <w:b/>
          <w:color w:val="1F4E79" w:themeColor="accent1" w:themeShade="80"/>
          <w:sz w:val="22"/>
          <w:szCs w:val="22"/>
          <w:u w:val="single"/>
        </w:rPr>
        <w:t>Lectura para toda la parte especial</w:t>
      </w:r>
    </w:p>
    <w:p w:rsidR="00C95397" w:rsidRPr="00B22822" w:rsidRDefault="00C95397" w:rsidP="00C95397">
      <w:pPr>
        <w:spacing w:after="0" w:line="360" w:lineRule="auto"/>
        <w:ind w:left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B22822">
        <w:rPr>
          <w:rFonts w:ascii="Calibri" w:eastAsia="Calibri" w:hAnsi="Calibri" w:cs="Arial"/>
          <w:b/>
          <w:color w:val="1F4E79" w:themeColor="accent1" w:themeShade="80"/>
        </w:rPr>
        <w:t>Código Penal</w:t>
      </w:r>
    </w:p>
    <w:p w:rsidR="00C95397" w:rsidRPr="00B22822" w:rsidRDefault="00C95397" w:rsidP="00C95397">
      <w:pPr>
        <w:pStyle w:val="Default"/>
        <w:spacing w:line="360" w:lineRule="auto"/>
        <w:ind w:left="720"/>
        <w:jc w:val="both"/>
        <w:rPr>
          <w:color w:val="auto"/>
          <w:sz w:val="22"/>
          <w:szCs w:val="22"/>
          <w:u w:val="single"/>
        </w:rPr>
      </w:pPr>
    </w:p>
    <w:p w:rsidR="00C95397" w:rsidRPr="00B22822" w:rsidRDefault="00C95397" w:rsidP="00C95397">
      <w:pPr>
        <w:pStyle w:val="Default"/>
        <w:numPr>
          <w:ilvl w:val="0"/>
          <w:numId w:val="3"/>
        </w:numPr>
        <w:spacing w:line="360" w:lineRule="auto"/>
        <w:jc w:val="both"/>
        <w:rPr>
          <w:b/>
          <w:color w:val="auto"/>
          <w:sz w:val="22"/>
          <w:szCs w:val="22"/>
          <w:u w:val="single"/>
        </w:rPr>
      </w:pPr>
      <w:r w:rsidRPr="00B22822">
        <w:rPr>
          <w:b/>
          <w:color w:val="auto"/>
          <w:sz w:val="22"/>
          <w:szCs w:val="22"/>
          <w:u w:val="single"/>
        </w:rPr>
        <w:t>Leyes penales especiales:</w:t>
      </w:r>
    </w:p>
    <w:p w:rsidR="00C95397" w:rsidRPr="00B22822" w:rsidRDefault="00C95397" w:rsidP="00C95397">
      <w:pPr>
        <w:pStyle w:val="Default"/>
        <w:spacing w:line="360" w:lineRule="auto"/>
        <w:ind w:left="708" w:hanging="348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 </w:t>
      </w:r>
      <w:r w:rsidRPr="00B22822">
        <w:rPr>
          <w:color w:val="auto"/>
          <w:sz w:val="22"/>
          <w:szCs w:val="22"/>
        </w:rPr>
        <w:tab/>
        <w:t xml:space="preserve">1) Ley N° 20.000, que sanciona el tráfico ilícito de estupefacientes y sustancias sicotrópicas; </w:t>
      </w:r>
    </w:p>
    <w:p w:rsidR="00C95397" w:rsidRPr="00B22822" w:rsidRDefault="00C95397" w:rsidP="00C95397">
      <w:pPr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tráfico ilícito de estupefacientes</w:t>
      </w:r>
    </w:p>
    <w:p w:rsidR="00C95397" w:rsidRPr="00B22822" w:rsidRDefault="00C95397" w:rsidP="00C95397">
      <w:pPr>
        <w:pStyle w:val="Sinespaciado"/>
        <w:spacing w:line="360" w:lineRule="auto"/>
        <w:ind w:left="708"/>
        <w:jc w:val="both"/>
        <w:rPr>
          <w:rFonts w:ascii="Calibri" w:hAnsi="Calibri"/>
          <w:b/>
          <w:color w:val="1F4E79" w:themeColor="accent1" w:themeShade="80"/>
        </w:rPr>
      </w:pPr>
      <w:r w:rsidRPr="00B22822">
        <w:rPr>
          <w:rFonts w:ascii="Calibri" w:hAnsi="Calibri"/>
          <w:b/>
          <w:color w:val="1F4E79" w:themeColor="accent1" w:themeShade="80"/>
        </w:rPr>
        <w:t xml:space="preserve">Matus Acuña, Jean Pierre y Ramírez Guzmán, María Cecilia; “Manuela de Derecho Penal Chileno”; Parte Especial; Editorial </w:t>
      </w:r>
      <w:proofErr w:type="spellStart"/>
      <w:r w:rsidRPr="00B22822">
        <w:rPr>
          <w:rFonts w:ascii="Calibri" w:hAnsi="Calibri"/>
          <w:b/>
          <w:color w:val="1F4E79" w:themeColor="accent1" w:themeShade="80"/>
        </w:rPr>
        <w:t>Turant</w:t>
      </w:r>
      <w:proofErr w:type="spellEnd"/>
      <w:r w:rsidRPr="00B22822">
        <w:rPr>
          <w:rFonts w:ascii="Calibri" w:hAnsi="Calibri"/>
          <w:b/>
          <w:color w:val="1F4E79" w:themeColor="accent1" w:themeShade="80"/>
        </w:rPr>
        <w:t xml:space="preserve"> lo Blanch; Valencia; 2017</w:t>
      </w:r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B22822">
        <w:rPr>
          <w:rFonts w:ascii="Calibri" w:hAnsi="Calibri" w:cs="Arial"/>
          <w:b/>
          <w:bCs/>
          <w:color w:val="1F4E79" w:themeColor="accent1" w:themeShade="80"/>
        </w:rPr>
        <w:t>Exigencia jurisprudencial de peligro concreto en los delitos de la </w:t>
      </w:r>
      <w:r w:rsidRPr="00B22822">
        <w:rPr>
          <w:rStyle w:val="solext0"/>
          <w:rFonts w:ascii="Calibri" w:hAnsi="Calibri" w:cs="Arial"/>
          <w:b/>
          <w:bCs/>
          <w:color w:val="1F4E79" w:themeColor="accent1" w:themeShade="80"/>
        </w:rPr>
        <w:t>ley</w:t>
      </w:r>
      <w:r w:rsidRPr="00B22822">
        <w:rPr>
          <w:rFonts w:ascii="Calibri" w:hAnsi="Calibri" w:cs="Arial"/>
          <w:b/>
          <w:bCs/>
          <w:color w:val="1F4E79" w:themeColor="accent1" w:themeShade="80"/>
        </w:rPr>
        <w:t> </w:t>
      </w:r>
      <w:r w:rsidRPr="00B22822">
        <w:rPr>
          <w:rStyle w:val="solext1"/>
          <w:rFonts w:ascii="Calibri" w:hAnsi="Calibri" w:cs="Arial"/>
          <w:b/>
          <w:bCs/>
          <w:color w:val="1F4E79" w:themeColor="accent1" w:themeShade="80"/>
        </w:rPr>
        <w:t>20.000</w:t>
      </w:r>
      <w:r w:rsidRPr="00B22822">
        <w:rPr>
          <w:rFonts w:ascii="Calibri" w:hAnsi="Calibri" w:cs="Arial"/>
          <w:b/>
          <w:bCs/>
          <w:color w:val="1F4E79" w:themeColor="accent1" w:themeShade="80"/>
        </w:rPr>
        <w:t> y su relación con figuras típicas que sancionan actos pr</w:t>
      </w:r>
      <w:r w:rsidR="00EF14E1" w:rsidRPr="00B22822">
        <w:rPr>
          <w:rFonts w:ascii="Calibri" w:hAnsi="Calibri" w:cs="Arial"/>
          <w:b/>
          <w:bCs/>
          <w:color w:val="1F4E79" w:themeColor="accent1" w:themeShade="80"/>
        </w:rPr>
        <w:t>eparatorios del mismo cuerpo.</w:t>
      </w:r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Style w:val="solext0"/>
          <w:rFonts w:ascii="Calibri" w:hAnsi="Calibri" w:cs="Arial"/>
          <w:b/>
          <w:color w:val="1F4E79" w:themeColor="accent1" w:themeShade="80"/>
        </w:rPr>
        <w:t>Ley</w:t>
      </w:r>
      <w:r w:rsidRPr="00B22822">
        <w:rPr>
          <w:rFonts w:ascii="Calibri" w:hAnsi="Calibri" w:cs="Arial"/>
          <w:b/>
          <w:color w:val="1F4E79" w:themeColor="accent1" w:themeShade="80"/>
        </w:rPr>
        <w:t xml:space="preserve"> 20000.    Art. 19 a, Agravante y control judicial. Informe en </w:t>
      </w:r>
      <w:r w:rsidR="00EF14E1" w:rsidRPr="00B22822">
        <w:rPr>
          <w:rFonts w:ascii="Calibri" w:hAnsi="Calibri" w:cs="Arial"/>
          <w:b/>
          <w:color w:val="1F4E79" w:themeColor="accent1" w:themeShade="80"/>
        </w:rPr>
        <w:t>Derecho de Hector Hernández.</w:t>
      </w:r>
    </w:p>
    <w:p w:rsidR="00C95397" w:rsidRPr="00B22822" w:rsidRDefault="00C95397" w:rsidP="00C95397">
      <w:pPr>
        <w:spacing w:after="0" w:line="360" w:lineRule="auto"/>
        <w:ind w:left="708"/>
        <w:jc w:val="both"/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</w:pPr>
      <w:r w:rsidRPr="00B22822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Aplicación del artículo 4º Ley 20.000. Criterios generales para dar contenido al elemento nor</w:t>
      </w:r>
      <w:r w:rsidR="00EF14E1" w:rsidRPr="00B22822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mativo «pequeñas cantidades».</w:t>
      </w:r>
    </w:p>
    <w:p w:rsidR="00EF14E1" w:rsidRPr="00B22822" w:rsidRDefault="00EF14E1" w:rsidP="00C95397">
      <w:pPr>
        <w:spacing w:after="0" w:line="360" w:lineRule="auto"/>
        <w:ind w:left="708"/>
        <w:jc w:val="both"/>
        <w:rPr>
          <w:rFonts w:ascii="Calibri" w:eastAsia="Times New Roman" w:hAnsi="Calibri" w:cs="Times New Roman"/>
          <w:b/>
          <w:color w:val="1F4E79" w:themeColor="accent1" w:themeShade="80"/>
          <w:lang w:eastAsia="es-CL"/>
        </w:rPr>
      </w:pPr>
      <w:hyperlink r:id="rId11" w:history="1">
        <w:r w:rsidRPr="00B22822">
          <w:rPr>
            <w:rStyle w:val="Hipervnculo"/>
          </w:rPr>
          <w:t>https://www.dropbox.com/sh/y17h449a8cwh6dw/AAC3eGDcOQ9O83cz80tdPOK0a?dl=0</w:t>
        </w:r>
      </w:hyperlink>
    </w:p>
    <w:p w:rsidR="00C95397" w:rsidRPr="00B22822" w:rsidRDefault="00C95397" w:rsidP="00C95397">
      <w:pPr>
        <w:pStyle w:val="Default"/>
        <w:spacing w:line="360" w:lineRule="auto"/>
        <w:ind w:left="360" w:firstLine="348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>2) Ley N° 20.066, que sanciona los actos de violencia intrafamiliar;</w:t>
      </w:r>
    </w:p>
    <w:p w:rsidR="00C95397" w:rsidRPr="00B22822" w:rsidRDefault="00C95397" w:rsidP="00C95397">
      <w:pPr>
        <w:spacing w:after="0" w:line="360" w:lineRule="auto"/>
        <w:ind w:firstLine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 xml:space="preserve">Lectura: </w:t>
      </w:r>
      <w:r w:rsidR="00EE1ED9" w:rsidRPr="00B22822">
        <w:rPr>
          <w:rFonts w:ascii="Calibri" w:hAnsi="Calibri" w:cs="Arial"/>
          <w:b/>
          <w:color w:val="1F4E79" w:themeColor="accent1" w:themeShade="80"/>
        </w:rPr>
        <w:t>L</w:t>
      </w:r>
      <w:r w:rsidRPr="00B22822">
        <w:rPr>
          <w:rFonts w:ascii="Calibri" w:hAnsi="Calibri" w:cs="Arial"/>
          <w:b/>
          <w:color w:val="1F4E79" w:themeColor="accent1" w:themeShade="80"/>
        </w:rPr>
        <w:t>ey de violencia intrafamiliar</w:t>
      </w:r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Arial"/>
          <w:b/>
          <w:bCs/>
          <w:color w:val="1F4E79" w:themeColor="accent1" w:themeShade="80"/>
          <w:u w:val="single"/>
        </w:rPr>
      </w:pPr>
      <w:r w:rsidRPr="00B22822">
        <w:rPr>
          <w:rFonts w:ascii="Calibri" w:eastAsia="Times New Roman" w:hAnsi="Calibri" w:cs="Arial"/>
          <w:b/>
          <w:color w:val="1F4E79" w:themeColor="accent1" w:themeShade="80"/>
          <w:lang w:eastAsia="es-CL"/>
        </w:rPr>
        <w:tab/>
      </w:r>
      <w:bookmarkStart w:id="0" w:name="OLE_LINK1"/>
      <w:r w:rsidRPr="00B22822">
        <w:rPr>
          <w:rFonts w:ascii="Calibri" w:hAnsi="Calibri" w:cs="Arial"/>
          <w:b/>
          <w:bCs/>
          <w:color w:val="1F4E79" w:themeColor="accent1" w:themeShade="80"/>
        </w:rPr>
        <w:t>ALCANCES DEL DELITO DE DESACATO EN EL CONTEXTO DE LA LEY DE VIOLENCIA INTRAFAMILIAR</w:t>
      </w:r>
      <w:bookmarkEnd w:id="0"/>
      <w:r w:rsidR="00EF14E1" w:rsidRPr="00B22822">
        <w:rPr>
          <w:rFonts w:ascii="Calibri" w:hAnsi="Calibri" w:cs="Arial"/>
          <w:b/>
          <w:bCs/>
          <w:color w:val="1F4E79" w:themeColor="accent1" w:themeShade="80"/>
        </w:rPr>
        <w:t>.</w:t>
      </w:r>
    </w:p>
    <w:p w:rsidR="00C95397" w:rsidRPr="00B22822" w:rsidRDefault="00C95397" w:rsidP="00EF14E1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</w:rPr>
      </w:pPr>
      <w:r w:rsidRPr="00B22822">
        <w:rPr>
          <w:rFonts w:ascii="Calibri" w:hAnsi="Calibri" w:cs="Arial"/>
          <w:b/>
          <w:bCs/>
          <w:color w:val="1F4E79" w:themeColor="accent1" w:themeShade="80"/>
        </w:rPr>
        <w:tab/>
      </w:r>
      <w:r w:rsidRPr="00B22822">
        <w:rPr>
          <w:rFonts w:ascii="Calibri" w:hAnsi="Calibri"/>
          <w:b/>
          <w:bCs/>
          <w:color w:val="1F4E79" w:themeColor="accent1" w:themeShade="80"/>
        </w:rPr>
        <w:t>Desacato en contexto VIF e incumplimiento de medidas cautelares y accesorias decretadas en otro delito de desacato en c</w:t>
      </w:r>
      <w:r w:rsidR="00EF14E1" w:rsidRPr="00B22822">
        <w:rPr>
          <w:rFonts w:ascii="Calibri" w:hAnsi="Calibri"/>
          <w:b/>
          <w:bCs/>
          <w:color w:val="1F4E79" w:themeColor="accent1" w:themeShade="80"/>
        </w:rPr>
        <w:t>ontexto VIF.CONSULTA (15) 2012.</w:t>
      </w:r>
      <w:r w:rsidR="00EF14E1" w:rsidRPr="00B22822">
        <w:rPr>
          <w:rFonts w:ascii="Calibri" w:hAnsi="Calibri"/>
          <w:b/>
          <w:bCs/>
          <w:color w:val="1F4E79" w:themeColor="accent1" w:themeShade="80"/>
          <w:u w:val="single"/>
        </w:rPr>
        <w:t xml:space="preserve"> </w:t>
      </w:r>
    </w:p>
    <w:p w:rsidR="00960D0E" w:rsidRPr="00B22822" w:rsidRDefault="00960D0E" w:rsidP="00C9539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</w:rPr>
      </w:pPr>
      <w:r w:rsidRPr="00B22822">
        <w:rPr>
          <w:rFonts w:ascii="Calibri" w:hAnsi="Calibri"/>
          <w:b/>
          <w:bCs/>
          <w:color w:val="1F4E79" w:themeColor="accent1" w:themeShade="80"/>
        </w:rPr>
        <w:tab/>
        <w:t>MINUTA “LA NUEVA NORMATIVA CONTRA LA VIOLENCIA INTRAFAMILIAR: LEY QUE DICTA NORMAS DE PROTECCIÓN CONTRA LA VIOLENCIA INTRAFAMILIAR (LEY N° 20.066) Y LEY QUE CREA LOS TRIBUNALE</w:t>
      </w:r>
      <w:r w:rsidR="00EF14E1" w:rsidRPr="00B22822">
        <w:rPr>
          <w:rFonts w:ascii="Calibri" w:hAnsi="Calibri"/>
          <w:b/>
          <w:bCs/>
          <w:color w:val="1F4E79" w:themeColor="accent1" w:themeShade="80"/>
        </w:rPr>
        <w:t>S DE FAMILIA (LEY n° 19.968).</w:t>
      </w:r>
    </w:p>
    <w:p w:rsidR="00655BBD" w:rsidRPr="00B22822" w:rsidRDefault="00655BBD" w:rsidP="00655BBD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</w:rPr>
      </w:pPr>
      <w:r w:rsidRPr="00B22822">
        <w:rPr>
          <w:rFonts w:ascii="Calibri" w:hAnsi="Calibri"/>
          <w:b/>
          <w:bCs/>
          <w:color w:val="1F4E79" w:themeColor="accent1" w:themeShade="80"/>
        </w:rPr>
        <w:tab/>
        <w:t>Minuta: “El delito de desacato del</w:t>
      </w:r>
      <w:bookmarkStart w:id="1" w:name="_Toc188673046"/>
      <w:r w:rsidR="00EF14E1" w:rsidRPr="00B22822">
        <w:rPr>
          <w:rFonts w:ascii="Calibri" w:hAnsi="Calibri"/>
          <w:b/>
          <w:bCs/>
          <w:color w:val="1F4E79" w:themeColor="accent1" w:themeShade="80"/>
        </w:rPr>
        <w:t xml:space="preserve"> artículo 240 inciso 2° CPC”.</w:t>
      </w:r>
    </w:p>
    <w:p w:rsidR="00C95397" w:rsidRPr="00B22822" w:rsidRDefault="00C95397" w:rsidP="00EF14E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</w:pPr>
      <w:r w:rsidRPr="00B22822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La sistemática de los delitos de lesiones en el Código Penal</w:t>
      </w:r>
      <w:bookmarkEnd w:id="1"/>
      <w:r w:rsidRPr="00B22822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 xml:space="preserve"> </w:t>
      </w:r>
      <w:bookmarkStart w:id="2" w:name="_Toc188673047"/>
      <w:r w:rsidRPr="00B22822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y el régimen introducido por </w:t>
      </w:r>
      <w:bookmarkEnd w:id="2"/>
      <w:r w:rsidRPr="00B22822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 xml:space="preserve">la Ley N° 20.066 </w:t>
      </w:r>
      <w:bookmarkStart w:id="3" w:name="_Toc188673048"/>
      <w:r w:rsidRPr="00B22822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sobre Violencia Intrafamiliar</w:t>
      </w:r>
      <w:bookmarkEnd w:id="3"/>
      <w:r w:rsidR="00EF14E1" w:rsidRPr="00B22822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.</w:t>
      </w:r>
    </w:p>
    <w:p w:rsidR="00EF14E1" w:rsidRPr="00B22822" w:rsidRDefault="00EF14E1" w:rsidP="00EF14E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hyperlink r:id="rId12" w:history="1">
        <w:r w:rsidRPr="00B22822">
          <w:rPr>
            <w:rStyle w:val="Hipervnculo"/>
          </w:rPr>
          <w:t>https://www.dropbox.com/sh/y17h449a8cwh6dw/AAC3eGDcOQ9O83cz80tdPOK0a?dl=0</w:t>
        </w:r>
      </w:hyperlink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</w:rPr>
      </w:pPr>
      <w:r w:rsidRPr="00B22822">
        <w:rPr>
          <w:rFonts w:ascii="Calibri" w:hAnsi="Calibri" w:cs="Calibri"/>
        </w:rPr>
        <w:t xml:space="preserve">3) Ley N° 18.216, que establece un sistema de medidas alternativas a las penas privativas o restrictivas de libertad; </w:t>
      </w:r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Ley N° 18.216</w:t>
      </w:r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“P</w:t>
      </w:r>
      <w:r w:rsidRPr="00B22822">
        <w:rPr>
          <w:rFonts w:ascii="Calibri" w:hAnsi="Calibri" w:cs="Arial"/>
          <w:b/>
          <w:bCs/>
          <w:color w:val="1F4E79" w:themeColor="accent1" w:themeShade="80"/>
        </w:rPr>
        <w:t>enas Sustitutivas de la Ley N° 18.216. </w:t>
      </w:r>
      <w:r w:rsidRPr="00B22822">
        <w:rPr>
          <w:rStyle w:val="solext0"/>
          <w:rFonts w:ascii="Calibri" w:hAnsi="Calibri" w:cs="Arial"/>
          <w:b/>
          <w:bCs/>
          <w:color w:val="1F4E79" w:themeColor="accent1" w:themeShade="80"/>
        </w:rPr>
        <w:t>Minuta</w:t>
      </w:r>
      <w:r w:rsidRPr="00B22822">
        <w:rPr>
          <w:rFonts w:ascii="Calibri" w:hAnsi="Calibri" w:cs="Arial"/>
          <w:b/>
          <w:bCs/>
          <w:color w:val="1F4E79" w:themeColor="accent1" w:themeShade="80"/>
        </w:rPr>
        <w:t> N</w:t>
      </w:r>
      <w:r w:rsidRPr="00B22822">
        <w:rPr>
          <w:rStyle w:val="solext1"/>
          <w:rFonts w:ascii="Calibri" w:hAnsi="Calibri" w:cs="Arial"/>
          <w:b/>
          <w:bCs/>
          <w:color w:val="1F4E79" w:themeColor="accent1" w:themeShade="80"/>
        </w:rPr>
        <w:t>°2</w:t>
      </w:r>
      <w:r w:rsidRPr="00B22822">
        <w:rPr>
          <w:rFonts w:ascii="Calibri" w:hAnsi="Calibri" w:cs="Arial"/>
          <w:b/>
          <w:bCs/>
          <w:color w:val="1F4E79" w:themeColor="accent1" w:themeShade="80"/>
        </w:rPr>
        <w:t>/ </w:t>
      </w:r>
      <w:r w:rsidRPr="00B22822">
        <w:rPr>
          <w:rStyle w:val="solext2"/>
          <w:rFonts w:ascii="Calibri" w:hAnsi="Calibri" w:cs="Arial"/>
          <w:b/>
          <w:bCs/>
          <w:color w:val="1F4E79" w:themeColor="accent1" w:themeShade="80"/>
        </w:rPr>
        <w:t>2014</w:t>
      </w:r>
      <w:r w:rsidRPr="00B22822">
        <w:rPr>
          <w:rFonts w:ascii="Calibri" w:hAnsi="Calibri" w:cs="Arial"/>
          <w:b/>
          <w:bCs/>
          <w:color w:val="1F4E79" w:themeColor="accent1" w:themeShade="80"/>
        </w:rPr>
        <w:t xml:space="preserve">/ Enero Departamento de </w:t>
      </w:r>
      <w:r w:rsidR="00EF14E1" w:rsidRPr="00B22822">
        <w:rPr>
          <w:rFonts w:ascii="Calibri" w:hAnsi="Calibri" w:cs="Arial"/>
          <w:b/>
          <w:bCs/>
          <w:color w:val="1F4E79" w:themeColor="accent1" w:themeShade="80"/>
        </w:rPr>
        <w:t>Estudios. Defensoría Nacional”.</w:t>
      </w:r>
    </w:p>
    <w:p w:rsidR="00EF14E1" w:rsidRPr="00B22822" w:rsidRDefault="00EF14E1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1F4E79" w:themeColor="accent1" w:themeShade="80"/>
        </w:rPr>
      </w:pPr>
      <w:hyperlink r:id="rId13" w:history="1">
        <w:r w:rsidRPr="00B22822">
          <w:rPr>
            <w:rStyle w:val="Hipervnculo"/>
          </w:rPr>
          <w:t>https://www.dropbox.com/sh/y17h449a8cwh6dw/AAC3eGDcOQ9O83cz80tdPOK0a?dl=0</w:t>
        </w:r>
      </w:hyperlink>
    </w:p>
    <w:p w:rsidR="00C95397" w:rsidRPr="00B22822" w:rsidRDefault="00C95397" w:rsidP="00C95397">
      <w:pPr>
        <w:pStyle w:val="Default"/>
        <w:spacing w:line="360" w:lineRule="auto"/>
        <w:ind w:left="360" w:firstLine="348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4) Ley N°18.314, que sanciona las conductas terroristas; </w:t>
      </w:r>
    </w:p>
    <w:p w:rsidR="00C95397" w:rsidRPr="00B22822" w:rsidRDefault="00C95397" w:rsidP="00C95397">
      <w:pPr>
        <w:spacing w:after="0" w:line="360" w:lineRule="auto"/>
        <w:ind w:left="705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ley N° 18.314</w:t>
      </w:r>
    </w:p>
    <w:p w:rsidR="00C95397" w:rsidRPr="00B22822" w:rsidRDefault="00C95397" w:rsidP="00C95397">
      <w:pPr>
        <w:pStyle w:val="Default"/>
        <w:spacing w:line="360" w:lineRule="auto"/>
        <w:ind w:left="360" w:firstLine="348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5) Ley N° 18.290, de tránsito </w:t>
      </w:r>
    </w:p>
    <w:p w:rsidR="00C95397" w:rsidRPr="00B22822" w:rsidRDefault="00C95397" w:rsidP="00EF14E1">
      <w:pPr>
        <w:spacing w:after="0" w:line="360" w:lineRule="auto"/>
        <w:ind w:left="705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 xml:space="preserve">Lectura: </w:t>
      </w:r>
      <w:r w:rsidRPr="00B22822">
        <w:rPr>
          <w:rFonts w:ascii="Calibri" w:hAnsi="Calibri" w:cs="Arial"/>
          <w:b/>
          <w:bCs/>
          <w:color w:val="1F4E79" w:themeColor="accent1" w:themeShade="80"/>
        </w:rPr>
        <w:t>Ley 18.290</w:t>
      </w:r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 w:hanging="3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B22822">
        <w:rPr>
          <w:rFonts w:ascii="Calibri" w:hAnsi="Calibri" w:cs="Arial"/>
          <w:b/>
          <w:bCs/>
          <w:color w:val="1F4E79" w:themeColor="accent1" w:themeShade="80"/>
        </w:rPr>
        <w:t>Análisis de las modificaciones introducidas por la ley N° 20.770 (“Ley Emilia”) a la Ley del </w:t>
      </w:r>
      <w:r w:rsidRPr="00B22822">
        <w:rPr>
          <w:rStyle w:val="solext0"/>
          <w:rFonts w:ascii="Calibri" w:hAnsi="Calibri" w:cs="Arial"/>
          <w:b/>
          <w:bCs/>
          <w:color w:val="1F4E79" w:themeColor="accent1" w:themeShade="80"/>
        </w:rPr>
        <w:t>Tránsito</w:t>
      </w:r>
      <w:r w:rsidRPr="00B22822">
        <w:rPr>
          <w:rFonts w:ascii="Calibri" w:hAnsi="Calibri" w:cs="Arial"/>
          <w:b/>
          <w:bCs/>
          <w:color w:val="1F4E79" w:themeColor="accent1" w:themeShade="80"/>
        </w:rPr>
        <w:t> y al Decreto Ley N° 321 Minuta N° 15 / 2014 / Diciembre. Departamento de Estudios. Defensoría Nacional</w:t>
      </w:r>
      <w:r w:rsidR="00EF14E1" w:rsidRPr="00B22822">
        <w:rPr>
          <w:rFonts w:ascii="Calibri" w:hAnsi="Calibri" w:cs="Arial"/>
          <w:b/>
          <w:bCs/>
          <w:color w:val="1F4E79" w:themeColor="accent1" w:themeShade="80"/>
        </w:rPr>
        <w:t>.</w:t>
      </w:r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 w:hanging="3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B22822">
        <w:rPr>
          <w:rFonts w:ascii="Calibri" w:hAnsi="Calibri" w:cs="Arial"/>
          <w:b/>
          <w:bCs/>
          <w:color w:val="1F4E79" w:themeColor="accent1" w:themeShade="80"/>
        </w:rPr>
        <w:t xml:space="preserve">Consulta relativa a interpretación del tipo penal del artículo 195 de la Ley de Tránsito </w:t>
      </w:r>
      <w:r w:rsidRPr="00B22822">
        <w:rPr>
          <w:rFonts w:ascii="Calibri" w:hAnsi="Calibri" w:cs="Arial"/>
          <w:b/>
          <w:color w:val="1F4E79" w:themeColor="accent1" w:themeShade="80"/>
        </w:rPr>
        <w:t> </w:t>
      </w:r>
      <w:r w:rsidR="00EF14E1" w:rsidRPr="00B22822">
        <w:rPr>
          <w:rFonts w:ascii="Calibri" w:hAnsi="Calibri" w:cs="Arial"/>
          <w:b/>
          <w:bCs/>
          <w:color w:val="1F4E79" w:themeColor="accent1" w:themeShade="80"/>
        </w:rPr>
        <w:t>C03-2016.</w:t>
      </w:r>
    </w:p>
    <w:p w:rsidR="00EF14E1" w:rsidRPr="00B22822" w:rsidRDefault="00EF14E1" w:rsidP="00C95397">
      <w:pPr>
        <w:autoSpaceDE w:val="0"/>
        <w:autoSpaceDN w:val="0"/>
        <w:adjustRightInd w:val="0"/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hyperlink r:id="rId14" w:history="1">
        <w:r w:rsidRPr="00B22822">
          <w:rPr>
            <w:rStyle w:val="Hipervnculo"/>
          </w:rPr>
          <w:t>https://www.dropbox.com/sh/y17h449a8cwh6dw/AAC3eGDcOQ9O83cz80tdPOK0a?dl=0</w:t>
        </w:r>
      </w:hyperlink>
    </w:p>
    <w:p w:rsidR="00C95397" w:rsidRPr="00B22822" w:rsidRDefault="00C95397" w:rsidP="00C95397">
      <w:pPr>
        <w:pStyle w:val="Default"/>
        <w:spacing w:line="360" w:lineRule="auto"/>
        <w:ind w:left="360"/>
        <w:jc w:val="both"/>
        <w:rPr>
          <w:color w:val="1F4E79" w:themeColor="accent1" w:themeShade="80"/>
          <w:sz w:val="22"/>
          <w:szCs w:val="22"/>
        </w:rPr>
      </w:pPr>
    </w:p>
    <w:p w:rsidR="00C95397" w:rsidRPr="00B22822" w:rsidRDefault="00C95397" w:rsidP="00C95397">
      <w:pPr>
        <w:pStyle w:val="Default"/>
        <w:spacing w:line="360" w:lineRule="auto"/>
        <w:ind w:left="360" w:firstLine="348"/>
        <w:jc w:val="both"/>
        <w:rPr>
          <w:color w:val="auto"/>
          <w:sz w:val="22"/>
          <w:szCs w:val="22"/>
        </w:rPr>
      </w:pPr>
      <w:r w:rsidRPr="00B22822">
        <w:rPr>
          <w:color w:val="auto"/>
          <w:sz w:val="22"/>
          <w:szCs w:val="22"/>
        </w:rPr>
        <w:t xml:space="preserve">6) Ley N° 17.798, de control de armas; </w:t>
      </w:r>
    </w:p>
    <w:p w:rsidR="00C95397" w:rsidRPr="00B22822" w:rsidRDefault="00C95397" w:rsidP="00C95397">
      <w:pPr>
        <w:spacing w:after="0" w:line="360" w:lineRule="auto"/>
        <w:ind w:firstLine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B22822">
        <w:rPr>
          <w:rFonts w:ascii="Calibri" w:hAnsi="Calibri" w:cs="Arial"/>
          <w:b/>
          <w:color w:val="1F4E79" w:themeColor="accent1" w:themeShade="80"/>
        </w:rPr>
        <w:t>Lectura: delitos de la ley de control de armas</w:t>
      </w:r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Arial"/>
          <w:b/>
          <w:bCs/>
          <w:color w:val="1F4E79" w:themeColor="accent1" w:themeShade="80"/>
          <w:u w:val="single"/>
        </w:rPr>
      </w:pPr>
      <w:r w:rsidRPr="00B22822">
        <w:rPr>
          <w:rFonts w:ascii="Calibri" w:eastAsia="Times New Roman" w:hAnsi="Calibri" w:cs="Arial"/>
          <w:b/>
          <w:color w:val="1F4E79" w:themeColor="accent1" w:themeShade="80"/>
          <w:lang w:eastAsia="es-CL"/>
        </w:rPr>
        <w:tab/>
      </w:r>
      <w:r w:rsidRPr="00B22822">
        <w:rPr>
          <w:rFonts w:ascii="Calibri" w:hAnsi="Calibri" w:cs="Arial"/>
          <w:b/>
          <w:bCs/>
          <w:color w:val="1F4E79" w:themeColor="accent1" w:themeShade="80"/>
        </w:rPr>
        <w:t xml:space="preserve">Minuta sobre las modificaciones introducidas a la Ley de Control de Armas (Ley 17.798) por la Ley 20.813 en </w:t>
      </w:r>
      <w:hyperlink r:id="rId15" w:history="1">
        <w:r w:rsidRPr="00B22822">
          <w:rPr>
            <w:rStyle w:val="Hipervnculo"/>
            <w:rFonts w:ascii="Calibri" w:hAnsi="Calibri" w:cs="Arial"/>
            <w:b/>
            <w:bCs/>
            <w:color w:val="1F4E79" w:themeColor="accent1" w:themeShade="80"/>
          </w:rPr>
          <w:t>https://decisia.lexum.com/dppc/cm/es/item/169570/index.do</w:t>
        </w:r>
      </w:hyperlink>
    </w:p>
    <w:p w:rsidR="00C95397" w:rsidRPr="00B22822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B22822">
        <w:rPr>
          <w:rFonts w:ascii="Calibri" w:hAnsi="Calibri" w:cs="Arial"/>
          <w:b/>
          <w:bCs/>
          <w:color w:val="1F4E79" w:themeColor="accent1" w:themeShade="80"/>
        </w:rPr>
        <w:t xml:space="preserve">Fallos del Tribunal Constitucional N° 3109; 3120; 3134 y 3135, consultables en </w:t>
      </w:r>
      <w:hyperlink r:id="rId16" w:history="1">
        <w:r w:rsidRPr="00B22822">
          <w:rPr>
            <w:rStyle w:val="Hipervnculo"/>
            <w:rFonts w:ascii="Calibri" w:hAnsi="Calibri" w:cs="Arial"/>
            <w:b/>
            <w:bCs/>
            <w:color w:val="1F4E79" w:themeColor="accent1" w:themeShade="80"/>
          </w:rPr>
          <w:t>http://www,tribunalconstitucional.cl/</w:t>
        </w:r>
      </w:hyperlink>
    </w:p>
    <w:p w:rsidR="007118FD" w:rsidRPr="00B22822" w:rsidRDefault="00F7759F" w:rsidP="00AB506B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color w:val="auto"/>
          <w:u w:val="none"/>
        </w:rPr>
      </w:pPr>
      <w:r w:rsidRPr="00B22822">
        <w:rPr>
          <w:rStyle w:val="Hipervnculo"/>
          <w:rFonts w:ascii="Calibri" w:hAnsi="Calibri"/>
          <w:color w:val="auto"/>
          <w:u w:val="none"/>
        </w:rPr>
        <w:t>7</w:t>
      </w:r>
      <w:r w:rsidR="00AB506B" w:rsidRPr="00B22822">
        <w:rPr>
          <w:rStyle w:val="Hipervnculo"/>
          <w:rFonts w:ascii="Calibri" w:hAnsi="Calibri"/>
          <w:color w:val="auto"/>
          <w:u w:val="none"/>
        </w:rPr>
        <w:t xml:space="preserve">) </w:t>
      </w:r>
      <w:r w:rsidR="007118FD" w:rsidRPr="00B22822">
        <w:rPr>
          <w:rStyle w:val="Hipervnculo"/>
          <w:rFonts w:ascii="Calibri" w:hAnsi="Calibri"/>
          <w:color w:val="auto"/>
          <w:u w:val="none"/>
        </w:rPr>
        <w:t>Ley N° 19.327, que fija normas para prevención y sanción de hechos de violencia en recintos deportivos con ocasión de espectáculos de futbol profesional</w:t>
      </w:r>
    </w:p>
    <w:p w:rsidR="007118FD" w:rsidRPr="00B22822" w:rsidRDefault="007118FD" w:rsidP="007118FD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  <w:u w:val="none"/>
        </w:rPr>
      </w:pPr>
      <w:r w:rsidRPr="00B22822">
        <w:rPr>
          <w:rFonts w:ascii="Calibri" w:hAnsi="Calibri"/>
          <w:b/>
          <w:color w:val="1F4E79" w:themeColor="accent1" w:themeShade="80"/>
        </w:rPr>
        <w:t>Lectura:</w:t>
      </w:r>
      <w:r w:rsidR="00EE1ED9" w:rsidRPr="00B22822">
        <w:rPr>
          <w:rFonts w:ascii="Calibri" w:hAnsi="Calibri"/>
          <w:b/>
          <w:color w:val="1F4E79" w:themeColor="accent1" w:themeShade="80"/>
        </w:rPr>
        <w:t xml:space="preserve"> </w:t>
      </w:r>
      <w:r w:rsidRPr="00B22822">
        <w:rPr>
          <w:rStyle w:val="Hipervnculo"/>
          <w:rFonts w:ascii="Calibri" w:hAnsi="Calibri"/>
          <w:b/>
          <w:color w:val="1F4E79" w:themeColor="accent1" w:themeShade="80"/>
          <w:u w:val="none"/>
        </w:rPr>
        <w:t>Ley 19.327</w:t>
      </w:r>
    </w:p>
    <w:p w:rsidR="00AB506B" w:rsidRPr="00B22822" w:rsidRDefault="00F7759F" w:rsidP="00AB506B">
      <w:pPr>
        <w:spacing w:after="0" w:line="360" w:lineRule="auto"/>
        <w:ind w:left="720"/>
        <w:jc w:val="both"/>
        <w:rPr>
          <w:rStyle w:val="Hipervnculo"/>
          <w:rFonts w:ascii="Calibri" w:hAnsi="Calibri"/>
          <w:color w:val="auto"/>
          <w:u w:val="none"/>
        </w:rPr>
      </w:pPr>
      <w:r w:rsidRPr="00B22822">
        <w:rPr>
          <w:rStyle w:val="Hipervnculo"/>
          <w:rFonts w:ascii="Calibri" w:hAnsi="Calibri"/>
          <w:color w:val="auto"/>
          <w:u w:val="none"/>
        </w:rPr>
        <w:t>8</w:t>
      </w:r>
      <w:r w:rsidR="00AB506B" w:rsidRPr="00B22822">
        <w:rPr>
          <w:rStyle w:val="Hipervnculo"/>
          <w:rFonts w:ascii="Calibri" w:hAnsi="Calibri"/>
          <w:color w:val="auto"/>
          <w:u w:val="none"/>
        </w:rPr>
        <w:t>) Sistema nacional de registros de ADN:</w:t>
      </w:r>
    </w:p>
    <w:p w:rsidR="00AB506B" w:rsidRPr="00B22822" w:rsidRDefault="00AB506B" w:rsidP="00EE1ED9">
      <w:pPr>
        <w:pStyle w:val="Prrafodelista"/>
        <w:spacing w:after="0" w:line="360" w:lineRule="auto"/>
        <w:ind w:left="0"/>
        <w:jc w:val="both"/>
        <w:rPr>
          <w:rStyle w:val="Hipervnculo"/>
          <w:rFonts w:ascii="Calibri" w:hAnsi="Calibri"/>
          <w:b/>
          <w:color w:val="1F4E79" w:themeColor="accent1" w:themeShade="80"/>
          <w:u w:val="none"/>
        </w:rPr>
      </w:pPr>
      <w:r w:rsidRPr="00B22822">
        <w:rPr>
          <w:rStyle w:val="Hipervnculo"/>
          <w:rFonts w:ascii="Calibri" w:hAnsi="Calibri"/>
          <w:color w:val="auto"/>
          <w:u w:val="none"/>
        </w:rPr>
        <w:tab/>
      </w:r>
      <w:r w:rsidRPr="00B22822">
        <w:rPr>
          <w:rFonts w:ascii="Calibri" w:hAnsi="Calibri"/>
          <w:b/>
          <w:color w:val="1F4E79" w:themeColor="accent1" w:themeShade="80"/>
        </w:rPr>
        <w:t>Lectura:</w:t>
      </w:r>
      <w:r w:rsidR="00EE1ED9" w:rsidRPr="00B22822">
        <w:rPr>
          <w:rFonts w:ascii="Calibri" w:hAnsi="Calibri"/>
          <w:b/>
          <w:color w:val="1F4E79" w:themeColor="accent1" w:themeShade="80"/>
        </w:rPr>
        <w:t xml:space="preserve"> </w:t>
      </w:r>
      <w:r w:rsidRPr="00B22822">
        <w:rPr>
          <w:rStyle w:val="Hipervnculo"/>
          <w:rFonts w:ascii="Calibri" w:hAnsi="Calibri"/>
          <w:b/>
          <w:color w:val="1F4E79" w:themeColor="accent1" w:themeShade="80"/>
          <w:u w:val="none"/>
        </w:rPr>
        <w:t>Ley 19.970 que crea el crea el sistema nacional de registros de ADN</w:t>
      </w:r>
    </w:p>
    <w:p w:rsidR="00AB506B" w:rsidRPr="00B22822" w:rsidRDefault="00AB506B" w:rsidP="00C95397">
      <w:pPr>
        <w:pStyle w:val="Default"/>
        <w:spacing w:line="360" w:lineRule="auto"/>
        <w:ind w:left="708"/>
        <w:jc w:val="both"/>
        <w:rPr>
          <w:b/>
          <w:color w:val="1F4E79" w:themeColor="accent1" w:themeShade="80"/>
          <w:sz w:val="22"/>
          <w:szCs w:val="22"/>
        </w:rPr>
      </w:pPr>
    </w:p>
    <w:p w:rsidR="00C95397" w:rsidRPr="00B22822" w:rsidRDefault="00C95397" w:rsidP="00C95397">
      <w:pPr>
        <w:pStyle w:val="Default"/>
        <w:numPr>
          <w:ilvl w:val="0"/>
          <w:numId w:val="3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B22822">
        <w:rPr>
          <w:b/>
          <w:bCs/>
          <w:color w:val="auto"/>
          <w:sz w:val="22"/>
          <w:szCs w:val="22"/>
        </w:rPr>
        <w:t xml:space="preserve"> </w:t>
      </w:r>
      <w:r w:rsidRPr="00B22822">
        <w:rPr>
          <w:b/>
          <w:bCs/>
          <w:color w:val="auto"/>
          <w:sz w:val="22"/>
          <w:szCs w:val="22"/>
          <w:u w:val="single"/>
        </w:rPr>
        <w:t>Sistema de Protección de Derechos Humanos</w:t>
      </w:r>
      <w:r w:rsidRPr="00B22822">
        <w:rPr>
          <w:b/>
          <w:bCs/>
          <w:color w:val="auto"/>
          <w:sz w:val="22"/>
          <w:szCs w:val="22"/>
        </w:rPr>
        <w:t xml:space="preserve">: </w:t>
      </w:r>
      <w:r w:rsidRPr="00B22822">
        <w:rPr>
          <w:bCs/>
          <w:color w:val="auto"/>
          <w:sz w:val="22"/>
          <w:szCs w:val="22"/>
        </w:rPr>
        <w:t>Convención Americana de Derechos Humanos y control de convencionalidad.</w:t>
      </w:r>
    </w:p>
    <w:p w:rsidR="00C95397" w:rsidRPr="00B22822" w:rsidRDefault="00C95397" w:rsidP="00C95397">
      <w:pPr>
        <w:pStyle w:val="Default"/>
        <w:spacing w:line="360" w:lineRule="auto"/>
        <w:ind w:left="360" w:firstLine="348"/>
        <w:jc w:val="both"/>
        <w:rPr>
          <w:rFonts w:cs="Arial"/>
          <w:b/>
          <w:color w:val="1F4E79" w:themeColor="accent1" w:themeShade="80"/>
          <w:sz w:val="22"/>
          <w:szCs w:val="22"/>
        </w:rPr>
      </w:pPr>
      <w:r w:rsidRPr="00B22822">
        <w:rPr>
          <w:rFonts w:cs="Arial"/>
          <w:b/>
          <w:color w:val="1F4E79" w:themeColor="accent1" w:themeShade="80"/>
          <w:sz w:val="22"/>
          <w:szCs w:val="22"/>
        </w:rPr>
        <w:t>Lectura:</w:t>
      </w:r>
    </w:p>
    <w:p w:rsidR="00C95397" w:rsidRPr="00B22822" w:rsidRDefault="00C95397" w:rsidP="00EE1ED9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B22822">
        <w:rPr>
          <w:rFonts w:ascii="Calibri" w:hAnsi="Calibri"/>
          <w:b/>
          <w:color w:val="1F4E79" w:themeColor="accent1" w:themeShade="80"/>
        </w:rPr>
        <w:t>Minuta sobre “Recurso de nulidad y derechos fundamentales a la luz de la jurisprudencia de la Corte Suprema”</w:t>
      </w:r>
      <w:r w:rsidR="00EE1ED9" w:rsidRPr="00B22822">
        <w:rPr>
          <w:rFonts w:ascii="Calibri" w:hAnsi="Calibri"/>
          <w:b/>
          <w:color w:val="1F4E79" w:themeColor="accent1" w:themeShade="80"/>
        </w:rPr>
        <w:t xml:space="preserve"> y</w:t>
      </w:r>
      <w:r w:rsidRPr="00B22822">
        <w:rPr>
          <w:rFonts w:ascii="Calibri" w:hAnsi="Calibri"/>
          <w:b/>
          <w:color w:val="1F4E79" w:themeColor="accent1" w:themeShade="80"/>
        </w:rPr>
        <w:t xml:space="preserve"> Minuta de apoyo para audiencias: “Sistemati</w:t>
      </w:r>
      <w:r w:rsidR="00EE1ED9" w:rsidRPr="00B22822">
        <w:rPr>
          <w:rFonts w:ascii="Calibri" w:hAnsi="Calibri"/>
          <w:b/>
          <w:color w:val="1F4E79" w:themeColor="accent1" w:themeShade="80"/>
        </w:rPr>
        <w:t xml:space="preserve">zación de fallos relevantes”.  </w:t>
      </w:r>
      <w:hyperlink r:id="rId17" w:history="1">
        <w:r w:rsidR="00EE1ED9" w:rsidRPr="00B22822">
          <w:rPr>
            <w:rStyle w:val="Hipervnculo"/>
          </w:rPr>
          <w:t>https://www.dropbox.com/sh/y17h449a8cwh6dw/AAC3eGDcOQ9O83cz80tdPOK0a?dl=0</w:t>
        </w:r>
      </w:hyperlink>
      <w:r w:rsidR="00EE1ED9" w:rsidRPr="00B22822">
        <w:rPr>
          <w:color w:val="1F497D"/>
        </w:rPr>
        <w:t xml:space="preserve"> </w:t>
      </w:r>
      <w:r w:rsidRPr="00B22822">
        <w:rPr>
          <w:rFonts w:ascii="Calibri" w:hAnsi="Calibri"/>
          <w:b/>
          <w:color w:val="1F4E79" w:themeColor="accent1" w:themeShade="80"/>
        </w:rPr>
        <w:t>Nash Rojas, Claudio, El sistema Interamericano de Derechos Humanos en Acción. Aciertos y desafíos; Ed. Porrúa, 2009</w:t>
      </w:r>
    </w:p>
    <w:p w:rsidR="007118FD" w:rsidRPr="00B22822" w:rsidRDefault="00C95397" w:rsidP="00C95397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r w:rsidRPr="00B22822">
        <w:rPr>
          <w:b/>
          <w:bCs/>
          <w:color w:val="auto"/>
          <w:sz w:val="22"/>
          <w:szCs w:val="22"/>
        </w:rPr>
        <w:t xml:space="preserve"> </w:t>
      </w:r>
      <w:r w:rsidR="00F7759F" w:rsidRPr="00B22822">
        <w:rPr>
          <w:b/>
          <w:bCs/>
          <w:color w:val="auto"/>
          <w:sz w:val="22"/>
          <w:szCs w:val="22"/>
          <w:u w:val="single"/>
        </w:rPr>
        <w:t>Ley Orgánica de la Defensoría Penal Pública</w:t>
      </w:r>
      <w:r w:rsidRPr="00B22822">
        <w:rPr>
          <w:color w:val="auto"/>
          <w:sz w:val="22"/>
          <w:szCs w:val="22"/>
        </w:rPr>
        <w:t xml:space="preserve"> </w:t>
      </w:r>
    </w:p>
    <w:p w:rsidR="00C95397" w:rsidRPr="00B22822" w:rsidRDefault="00F7759F" w:rsidP="007118FD">
      <w:pPr>
        <w:pStyle w:val="Default"/>
        <w:spacing w:line="360" w:lineRule="auto"/>
        <w:ind w:left="1080"/>
        <w:jc w:val="both"/>
        <w:rPr>
          <w:b/>
          <w:color w:val="1F4E79" w:themeColor="accent1" w:themeShade="80"/>
          <w:sz w:val="22"/>
          <w:szCs w:val="22"/>
        </w:rPr>
      </w:pPr>
      <w:r w:rsidRPr="00B22822">
        <w:rPr>
          <w:b/>
          <w:color w:val="1F4E79" w:themeColor="accent1" w:themeShade="80"/>
          <w:sz w:val="22"/>
          <w:szCs w:val="22"/>
        </w:rPr>
        <w:t xml:space="preserve">Lectura: </w:t>
      </w:r>
      <w:r w:rsidR="00C95397" w:rsidRPr="00B22822">
        <w:rPr>
          <w:b/>
          <w:color w:val="1F4E79" w:themeColor="accent1" w:themeShade="80"/>
          <w:sz w:val="22"/>
          <w:szCs w:val="22"/>
        </w:rPr>
        <w:t>Ley Nº 19.718, que crea la Defensoría Penal Pública.</w:t>
      </w:r>
    </w:p>
    <w:p w:rsidR="00B22822" w:rsidRPr="00B22822" w:rsidRDefault="00B22822" w:rsidP="007118FD">
      <w:pPr>
        <w:pStyle w:val="Default"/>
        <w:spacing w:line="360" w:lineRule="auto"/>
        <w:ind w:left="1080"/>
        <w:jc w:val="both"/>
        <w:rPr>
          <w:b/>
          <w:color w:val="1F4E79" w:themeColor="accent1" w:themeShade="80"/>
          <w:sz w:val="22"/>
          <w:szCs w:val="22"/>
        </w:rPr>
      </w:pPr>
    </w:p>
    <w:p w:rsidR="00AB506B" w:rsidRPr="00B22822" w:rsidRDefault="00F7759F" w:rsidP="00AB506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u w:val="single"/>
        </w:rPr>
      </w:pPr>
      <w:r w:rsidRPr="00B22822">
        <w:rPr>
          <w:rFonts w:ascii="Calibri" w:hAnsi="Calibri" w:cs="Calibri"/>
          <w:b/>
          <w:u w:val="single"/>
        </w:rPr>
        <w:t>Responsabilidad Penal Adolescente</w:t>
      </w:r>
    </w:p>
    <w:p w:rsidR="00B22822" w:rsidRPr="00B22822" w:rsidRDefault="00F7759F" w:rsidP="00B22822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</w:rPr>
      </w:pPr>
      <w:r w:rsidRPr="00B22822">
        <w:rPr>
          <w:color w:val="auto"/>
          <w:sz w:val="22"/>
          <w:szCs w:val="22"/>
        </w:rPr>
        <w:t>Ley 20.084 y Decreto Supremo del Ministerio de Justicia N° 1.378, de 13 de diciembre de 2006, que aprueba el Reglamento de la ley N° 20.084</w:t>
      </w:r>
      <w:r w:rsidR="00B22822">
        <w:rPr>
          <w:color w:val="auto"/>
          <w:sz w:val="22"/>
          <w:szCs w:val="22"/>
        </w:rPr>
        <w:t xml:space="preserve">, </w:t>
      </w:r>
      <w:r w:rsidRPr="00B22822">
        <w:rPr>
          <w:color w:val="auto"/>
          <w:sz w:val="22"/>
          <w:szCs w:val="22"/>
        </w:rPr>
        <w:t>Jurisprudencia relevante en materia de Derecho Penal Juvenil</w:t>
      </w:r>
      <w:r w:rsidR="00B22822">
        <w:rPr>
          <w:color w:val="auto"/>
          <w:sz w:val="22"/>
          <w:szCs w:val="22"/>
        </w:rPr>
        <w:t>.</w:t>
      </w:r>
      <w:r w:rsidR="00B22822" w:rsidRPr="00B22822">
        <w:rPr>
          <w:b/>
          <w:color w:val="1F4E79" w:themeColor="accent1" w:themeShade="80"/>
          <w:sz w:val="22"/>
          <w:szCs w:val="22"/>
        </w:rPr>
        <w:t xml:space="preserve"> </w:t>
      </w:r>
      <w:r w:rsidR="00B22822" w:rsidRPr="00B22822">
        <w:rPr>
          <w:b/>
          <w:color w:val="1F4E79" w:themeColor="accent1" w:themeShade="80"/>
          <w:sz w:val="22"/>
          <w:szCs w:val="22"/>
        </w:rPr>
        <w:t xml:space="preserve">Decreto Supremo del Ministerio de Justicia N° 1.378, de 13 de diciembre de 2006, que aprueba el Reglamento de la ley N° 20.084 </w:t>
      </w:r>
    </w:p>
    <w:p w:rsidR="00B22822" w:rsidRDefault="00F7759F" w:rsidP="00B22822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B22822">
        <w:rPr>
          <w:rFonts w:ascii="Calibri" w:hAnsi="Calibri"/>
          <w:b/>
          <w:color w:val="1F4E79" w:themeColor="accent1" w:themeShade="80"/>
        </w:rPr>
        <w:t>Lectura:</w:t>
      </w:r>
      <w:r w:rsidR="00B22822">
        <w:rPr>
          <w:rFonts w:ascii="Calibri" w:hAnsi="Calibri"/>
          <w:b/>
          <w:color w:val="1F4E79" w:themeColor="accent1" w:themeShade="80"/>
        </w:rPr>
        <w:t xml:space="preserve"> </w:t>
      </w:r>
      <w:r w:rsidRPr="00B22822">
        <w:rPr>
          <w:rFonts w:ascii="Calibri" w:hAnsi="Calibri"/>
          <w:b/>
          <w:color w:val="1F4E79" w:themeColor="accent1" w:themeShade="80"/>
        </w:rPr>
        <w:t xml:space="preserve">13° Informe de jurisprudencia sobre la Ley Nº 20.084 de responsabilidad penal del adolescente, del año 2013, disponible en </w:t>
      </w:r>
    </w:p>
    <w:p w:rsidR="00B22822" w:rsidRPr="00B22822" w:rsidRDefault="00B22822" w:rsidP="00B22822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  <w:u w:val="single"/>
        </w:rPr>
      </w:pPr>
      <w:hyperlink r:id="rId18" w:history="1">
        <w:r w:rsidRPr="00B22822">
          <w:rPr>
            <w:rStyle w:val="Hipervnculo"/>
          </w:rPr>
          <w:t>https://www.dropbox.com/sh/y17h449a8cwh6dw/AAC3eGDcO</w:t>
        </w:r>
        <w:bookmarkStart w:id="4" w:name="_GoBack"/>
        <w:bookmarkEnd w:id="4"/>
        <w:r w:rsidRPr="00B22822">
          <w:rPr>
            <w:rStyle w:val="Hipervnculo"/>
          </w:rPr>
          <w:t>Q9O83cz80tdPOK0a?dl=0</w:t>
        </w:r>
      </w:hyperlink>
    </w:p>
    <w:sectPr w:rsidR="00B22822" w:rsidRPr="00B22822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C98" w:rsidRDefault="00DF3C98" w:rsidP="00C95397">
      <w:pPr>
        <w:spacing w:after="0" w:line="240" w:lineRule="auto"/>
      </w:pPr>
      <w:r>
        <w:separator/>
      </w:r>
    </w:p>
  </w:endnote>
  <w:endnote w:type="continuationSeparator" w:id="0">
    <w:p w:rsidR="00DF3C98" w:rsidRDefault="00DF3C98" w:rsidP="00C9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DD" w:rsidRPr="008A52DD" w:rsidRDefault="008A52DD" w:rsidP="008A52DD">
    <w:pPr>
      <w:autoSpaceDE w:val="0"/>
      <w:autoSpaceDN w:val="0"/>
      <w:adjustRightInd w:val="0"/>
      <w:spacing w:after="0" w:line="240" w:lineRule="auto"/>
      <w:jc w:val="both"/>
      <w:rPr>
        <w:rFonts w:ascii="Calibri" w:hAnsi="Calibri" w:cs="Calibri"/>
        <w:color w:val="000000"/>
        <w:szCs w:val="24"/>
      </w:rPr>
    </w:pPr>
  </w:p>
  <w:p w:rsidR="008A52DD" w:rsidRPr="008A52DD" w:rsidRDefault="008A52DD" w:rsidP="008A52DD">
    <w:pPr>
      <w:pStyle w:val="Piedepgina"/>
      <w:jc w:val="both"/>
      <w:rPr>
        <w:rFonts w:ascii="Calibri" w:hAnsi="Calibri" w:cs="Calibri"/>
        <w:i/>
        <w:iCs/>
        <w:color w:val="000000"/>
        <w:sz w:val="18"/>
        <w:szCs w:val="18"/>
      </w:rPr>
    </w:pPr>
    <w:r w:rsidRPr="008A52DD">
      <w:rPr>
        <w:rFonts w:ascii="Calibri" w:hAnsi="Calibri" w:cs="Calibri"/>
        <w:color w:val="000000"/>
        <w:sz w:val="18"/>
        <w:szCs w:val="18"/>
      </w:rPr>
      <w:t xml:space="preserve"> </w:t>
    </w:r>
    <w:r w:rsidRPr="008A52DD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(*)  Nota 1: </w:t>
    </w:r>
    <w:r w:rsidRPr="008A52DD">
      <w:rPr>
        <w:rFonts w:ascii="Calibri" w:hAnsi="Calibri" w:cs="Calibri"/>
        <w:i/>
        <w:iCs/>
        <w:color w:val="000000"/>
        <w:sz w:val="18"/>
        <w:szCs w:val="18"/>
      </w:rPr>
      <w:t>En caso de que parte del material de estudio esté desactualizado por modificaciones legales posteriores, es responsabilidad del postulante conocer dichas modificaciones y responder la prueba conforme a ellas.</w:t>
    </w:r>
  </w:p>
  <w:p w:rsidR="008A52DD" w:rsidRPr="008A52DD" w:rsidRDefault="008A52DD" w:rsidP="008A52DD">
    <w:pPr>
      <w:pStyle w:val="Piedepgina"/>
      <w:jc w:val="both"/>
      <w:rPr>
        <w:sz w:val="18"/>
        <w:szCs w:val="18"/>
      </w:rPr>
    </w:pPr>
    <w:r w:rsidRPr="008A52DD">
      <w:rPr>
        <w:rFonts w:ascii="Calibri" w:hAnsi="Calibri" w:cs="Calibri"/>
        <w:b/>
        <w:i/>
        <w:iCs/>
        <w:color w:val="000000"/>
        <w:sz w:val="18"/>
        <w:szCs w:val="18"/>
      </w:rPr>
      <w:t xml:space="preserve">Nota 2: </w:t>
    </w:r>
    <w:r w:rsidRPr="008A52DD">
      <w:rPr>
        <w:rFonts w:ascii="Calibri" w:hAnsi="Calibri" w:cs="Calibri"/>
        <w:i/>
        <w:iCs/>
        <w:color w:val="000000"/>
        <w:sz w:val="18"/>
        <w:szCs w:val="18"/>
      </w:rPr>
      <w:t>Las preguntas y respuestas de la prueba de conocimientos, sólo están sustentadas en este temario, y no en otros autores o textos.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C98" w:rsidRDefault="00DF3C98" w:rsidP="00C95397">
      <w:pPr>
        <w:spacing w:after="0" w:line="240" w:lineRule="auto"/>
      </w:pPr>
      <w:r>
        <w:separator/>
      </w:r>
    </w:p>
  </w:footnote>
  <w:footnote w:type="continuationSeparator" w:id="0">
    <w:p w:rsidR="00DF3C98" w:rsidRDefault="00DF3C98" w:rsidP="00C9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DD" w:rsidRDefault="008A52DD">
    <w:pPr>
      <w:pStyle w:val="Encabezado"/>
    </w:pPr>
    <w:r w:rsidRPr="008A52DD">
      <w:rPr>
        <w:noProof/>
        <w:lang w:eastAsia="es-CL"/>
      </w:rPr>
      <w:drawing>
        <wp:inline distT="0" distB="0" distL="0" distR="0">
          <wp:extent cx="1167171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56" cy="42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37B"/>
    <w:multiLevelType w:val="hybridMultilevel"/>
    <w:tmpl w:val="B274B61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3F72"/>
    <w:multiLevelType w:val="hybridMultilevel"/>
    <w:tmpl w:val="77BABC16"/>
    <w:lvl w:ilvl="0" w:tplc="2A100128">
      <w:start w:val="8"/>
      <w:numFmt w:val="upperRoman"/>
      <w:lvlText w:val="%1)"/>
      <w:lvlJc w:val="left"/>
      <w:pPr>
        <w:ind w:left="1003" w:hanging="720"/>
      </w:pPr>
      <w:rPr>
        <w:rFonts w:hint="default"/>
        <w:b w:val="0"/>
        <w:color w:val="000000" w:themeColor="text1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2E2BC4"/>
    <w:multiLevelType w:val="hybridMultilevel"/>
    <w:tmpl w:val="78B41486"/>
    <w:lvl w:ilvl="0" w:tplc="E13C5AC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1C9F"/>
    <w:multiLevelType w:val="hybridMultilevel"/>
    <w:tmpl w:val="77BABC16"/>
    <w:lvl w:ilvl="0" w:tplc="2A100128">
      <w:start w:val="8"/>
      <w:numFmt w:val="upperRoman"/>
      <w:lvlText w:val="%1)"/>
      <w:lvlJc w:val="left"/>
      <w:pPr>
        <w:ind w:left="1003" w:hanging="720"/>
      </w:pPr>
      <w:rPr>
        <w:rFonts w:hint="default"/>
        <w:b w:val="0"/>
        <w:color w:val="000000" w:themeColor="text1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686C8F"/>
    <w:multiLevelType w:val="hybridMultilevel"/>
    <w:tmpl w:val="B50618A0"/>
    <w:lvl w:ilvl="0" w:tplc="16786C14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11473"/>
    <w:multiLevelType w:val="hybridMultilevel"/>
    <w:tmpl w:val="E5685C46"/>
    <w:lvl w:ilvl="0" w:tplc="8662FED6">
      <w:start w:val="1"/>
      <w:numFmt w:val="decimal"/>
      <w:lvlText w:val="%1)"/>
      <w:lvlJc w:val="left"/>
      <w:pPr>
        <w:ind w:left="643" w:hanging="360"/>
      </w:pPr>
      <w:rPr>
        <w:rFonts w:hint="default"/>
        <w:color w:val="0070C0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26C1019"/>
    <w:multiLevelType w:val="hybridMultilevel"/>
    <w:tmpl w:val="2B7468E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45A42"/>
    <w:multiLevelType w:val="hybridMultilevel"/>
    <w:tmpl w:val="FEEC536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A6143"/>
    <w:multiLevelType w:val="hybridMultilevel"/>
    <w:tmpl w:val="A34E97DE"/>
    <w:lvl w:ilvl="0" w:tplc="9AB82390">
      <w:start w:val="1"/>
      <w:numFmt w:val="lowerLetter"/>
      <w:lvlText w:val="%1)"/>
      <w:lvlJc w:val="left"/>
      <w:pPr>
        <w:ind w:left="1440" w:hanging="720"/>
      </w:pPr>
      <w:rPr>
        <w:rFonts w:ascii="Calibri" w:eastAsiaTheme="minorHAns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343F3"/>
    <w:multiLevelType w:val="hybridMultilevel"/>
    <w:tmpl w:val="35A697F2"/>
    <w:lvl w:ilvl="0" w:tplc="9FF4C1B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97"/>
    <w:rsid w:val="00005828"/>
    <w:rsid w:val="00097888"/>
    <w:rsid w:val="00160BA1"/>
    <w:rsid w:val="00197415"/>
    <w:rsid w:val="00246FCC"/>
    <w:rsid w:val="002C55F3"/>
    <w:rsid w:val="002D6CEB"/>
    <w:rsid w:val="003928E2"/>
    <w:rsid w:val="003B6A1F"/>
    <w:rsid w:val="003F6B42"/>
    <w:rsid w:val="00411AE8"/>
    <w:rsid w:val="004351BB"/>
    <w:rsid w:val="00502485"/>
    <w:rsid w:val="006163BC"/>
    <w:rsid w:val="00655BBD"/>
    <w:rsid w:val="006951D6"/>
    <w:rsid w:val="00710902"/>
    <w:rsid w:val="007118FD"/>
    <w:rsid w:val="00767858"/>
    <w:rsid w:val="007C0946"/>
    <w:rsid w:val="00854045"/>
    <w:rsid w:val="00856C8E"/>
    <w:rsid w:val="0087020C"/>
    <w:rsid w:val="008A52DD"/>
    <w:rsid w:val="008C2D39"/>
    <w:rsid w:val="00915DBC"/>
    <w:rsid w:val="00942912"/>
    <w:rsid w:val="00960D0E"/>
    <w:rsid w:val="009A44B3"/>
    <w:rsid w:val="009D3C0E"/>
    <w:rsid w:val="009D6211"/>
    <w:rsid w:val="00A02C85"/>
    <w:rsid w:val="00A46FF4"/>
    <w:rsid w:val="00A9083F"/>
    <w:rsid w:val="00AB506B"/>
    <w:rsid w:val="00AD4B6F"/>
    <w:rsid w:val="00AE733A"/>
    <w:rsid w:val="00B22822"/>
    <w:rsid w:val="00B664FC"/>
    <w:rsid w:val="00B86FC1"/>
    <w:rsid w:val="00BF4F26"/>
    <w:rsid w:val="00C95397"/>
    <w:rsid w:val="00CA261A"/>
    <w:rsid w:val="00CE67CA"/>
    <w:rsid w:val="00D87A19"/>
    <w:rsid w:val="00DF3C98"/>
    <w:rsid w:val="00E64B7A"/>
    <w:rsid w:val="00EE1ED9"/>
    <w:rsid w:val="00EF14E1"/>
    <w:rsid w:val="00F61E21"/>
    <w:rsid w:val="00F7759F"/>
    <w:rsid w:val="00FC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F5628-6EA8-430C-B035-469902F6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53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53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5397"/>
    <w:rPr>
      <w:color w:val="0563C1" w:themeColor="hyperlink"/>
      <w:u w:val="single"/>
    </w:rPr>
  </w:style>
  <w:style w:type="character" w:customStyle="1" w:styleId="solext0">
    <w:name w:val="solext0"/>
    <w:basedOn w:val="Fuentedeprrafopredeter"/>
    <w:rsid w:val="00C95397"/>
  </w:style>
  <w:style w:type="character" w:customStyle="1" w:styleId="solext1">
    <w:name w:val="solext1"/>
    <w:basedOn w:val="Fuentedeprrafopredeter"/>
    <w:rsid w:val="00C95397"/>
  </w:style>
  <w:style w:type="character" w:customStyle="1" w:styleId="solext2">
    <w:name w:val="solext2"/>
    <w:basedOn w:val="Fuentedeprrafopredeter"/>
    <w:rsid w:val="00C95397"/>
  </w:style>
  <w:style w:type="paragraph" w:styleId="Sinespaciado">
    <w:name w:val="No Spacing"/>
    <w:uiPriority w:val="1"/>
    <w:qFormat/>
    <w:rsid w:val="00C9539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C953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5397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9539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9539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95397"/>
    <w:rPr>
      <w:vertAlign w:val="superscript"/>
    </w:rPr>
  </w:style>
  <w:style w:type="character" w:customStyle="1" w:styleId="solext10">
    <w:name w:val="solext10"/>
    <w:basedOn w:val="Fuentedeprrafopredeter"/>
    <w:rsid w:val="00655BBD"/>
  </w:style>
  <w:style w:type="character" w:customStyle="1" w:styleId="solext8">
    <w:name w:val="solext8"/>
    <w:basedOn w:val="Fuentedeprrafopredeter"/>
    <w:rsid w:val="00655BBD"/>
  </w:style>
  <w:style w:type="character" w:customStyle="1" w:styleId="solext4">
    <w:name w:val="solext4"/>
    <w:basedOn w:val="Fuentedeprrafopredeter"/>
    <w:rsid w:val="00655BBD"/>
  </w:style>
  <w:style w:type="character" w:customStyle="1" w:styleId="solext5">
    <w:name w:val="solext5"/>
    <w:basedOn w:val="Fuentedeprrafopredeter"/>
    <w:rsid w:val="00655BBD"/>
  </w:style>
  <w:style w:type="character" w:customStyle="1" w:styleId="solext6">
    <w:name w:val="solext6"/>
    <w:basedOn w:val="Fuentedeprrafopredeter"/>
    <w:rsid w:val="00655BBD"/>
  </w:style>
  <w:style w:type="character" w:customStyle="1" w:styleId="solext7">
    <w:name w:val="solext7"/>
    <w:basedOn w:val="Fuentedeprrafopredeter"/>
    <w:rsid w:val="00655BBD"/>
  </w:style>
  <w:style w:type="paragraph" w:styleId="Encabezado">
    <w:name w:val="header"/>
    <w:basedOn w:val="Normal"/>
    <w:link w:val="EncabezadoCar"/>
    <w:uiPriority w:val="99"/>
    <w:unhideWhenUsed/>
    <w:rsid w:val="008A5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2DD"/>
  </w:style>
  <w:style w:type="paragraph" w:styleId="Piedepgina">
    <w:name w:val="footer"/>
    <w:basedOn w:val="Normal"/>
    <w:link w:val="PiedepginaCar"/>
    <w:uiPriority w:val="99"/>
    <w:unhideWhenUsed/>
    <w:rsid w:val="008A5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2DD"/>
  </w:style>
  <w:style w:type="character" w:styleId="Hipervnculovisitado">
    <w:name w:val="FollowedHyperlink"/>
    <w:basedOn w:val="Fuentedeprrafopredeter"/>
    <w:uiPriority w:val="99"/>
    <w:semiHidden/>
    <w:unhideWhenUsed/>
    <w:rsid w:val="00A02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y17h449a8cwh6dw/AAC3eGDcOQ9O83cz80tdPOK0a?dl=0" TargetMode="External"/><Relationship Id="rId13" Type="http://schemas.openxmlformats.org/officeDocument/2006/relationships/hyperlink" Target="https://www.dropbox.com/sh/y17h449a8cwh6dw/AAC3eGDcOQ9O83cz80tdPOK0a?dl=0" TargetMode="External"/><Relationship Id="rId18" Type="http://schemas.openxmlformats.org/officeDocument/2006/relationships/hyperlink" Target="https://www.dropbox.com/sh/y17h449a8cwh6dw/AAC3eGDcOQ9O83cz80tdPOK0a?dl=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h/y17h449a8cwh6dw/AAC3eGDcOQ9O83cz80tdPOK0a?dl=0" TargetMode="External"/><Relationship Id="rId17" Type="http://schemas.openxmlformats.org/officeDocument/2006/relationships/hyperlink" Target="https://www.dropbox.com/sh/y17h449a8cwh6dw/AAC3eGDcOQ9O83cz80tdPOK0a?dl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,tribunalconstitucional.c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h/y17h449a8cwh6dw/AAC3eGDcOQ9O83cz80tdPOK0a?dl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cisia.lexum.com/dppc/cm/es/item/169570/index.do" TargetMode="External"/><Relationship Id="rId10" Type="http://schemas.openxmlformats.org/officeDocument/2006/relationships/hyperlink" Target="https://www.dropbox.com/sh/y17h449a8cwh6dw/AAC3eGDcOQ9O83cz80tdPOK0a?dl=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h/y17h449a8cwh6dw/AAC3eGDcOQ9O83cz80tdPOK0a?dl=0" TargetMode="External"/><Relationship Id="rId14" Type="http://schemas.openxmlformats.org/officeDocument/2006/relationships/hyperlink" Target="https://www.dropbox.com/sh/y17h449a8cwh6dw/AAC3eGDcOQ9O83cz80tdPOK0a?dl=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8C90-86C1-45A8-B3AE-AB78BA24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2111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Irarrazaval  Zaldivar</dc:creator>
  <cp:keywords/>
  <dc:description/>
  <cp:lastModifiedBy>Carolina Gajardo Romero</cp:lastModifiedBy>
  <cp:revision>4</cp:revision>
  <dcterms:created xsi:type="dcterms:W3CDTF">2018-04-16T20:17:00Z</dcterms:created>
  <dcterms:modified xsi:type="dcterms:W3CDTF">2018-04-25T17:37:00Z</dcterms:modified>
</cp:coreProperties>
</file>